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58" w:rsidRDefault="00367458">
      <w:pPr>
        <w:ind w:firstLine="0"/>
        <w:rPr>
          <w:rFonts w:ascii="Times New Roman" w:hAnsi="Times New Roman" w:cs="Times New Roman"/>
        </w:rPr>
      </w:pPr>
      <w:r>
        <w:rPr>
          <w:rFonts w:ascii="Times New Roman" w:hAnsi="Times New Roman" w:cs="Times New Roman"/>
          <w:b/>
          <w:bCs/>
        </w:rPr>
        <w:t>Etude d’un document</w:t>
      </w:r>
      <w:r>
        <w:rPr>
          <w:rFonts w:ascii="Times New Roman" w:hAnsi="Times New Roman" w:cs="Times New Roman"/>
        </w:rPr>
        <w:t xml:space="preserve"> (6 points) :</w:t>
      </w:r>
    </w:p>
    <w:p w:rsidR="00367458" w:rsidRDefault="00367458">
      <w:pPr>
        <w:pStyle w:val="Corpsdetexte"/>
        <w:rPr>
          <w:rFonts w:ascii="Times New Roman" w:hAnsi="Times New Roman" w:cs="Times New Roman"/>
          <w:b/>
          <w:bCs/>
        </w:rPr>
      </w:pPr>
      <w:r>
        <w:rPr>
          <w:b/>
          <w:bCs/>
        </w:rPr>
        <w:t xml:space="preserve">Après avoir présenté le document, vous mettrez en évidence les évolutions des inégalités de niveaux </w:t>
      </w:r>
      <w:r w:rsidR="00A5024F">
        <w:rPr>
          <w:b/>
          <w:bCs/>
        </w:rPr>
        <w:t xml:space="preserve">de vie </w:t>
      </w:r>
      <w:r>
        <w:rPr>
          <w:b/>
          <w:bCs/>
        </w:rPr>
        <w:t>des ménages en France.</w:t>
      </w:r>
    </w:p>
    <w:p w:rsidR="00367458" w:rsidRDefault="00367458">
      <w:pPr>
        <w:pStyle w:val="Corpsdetexte"/>
        <w:spacing w:after="0"/>
      </w:pPr>
      <w:r>
        <w:t xml:space="preserve">Distribution des niveaux de vie  </w:t>
      </w:r>
      <w:r>
        <w:tab/>
      </w:r>
      <w:r>
        <w:tab/>
      </w:r>
      <w:r>
        <w:tab/>
        <w:t>En euros de 2011</w:t>
      </w:r>
    </w:p>
    <w:tbl>
      <w:tblPr>
        <w:tblW w:w="6660" w:type="dxa"/>
        <w:tblInd w:w="-68" w:type="dxa"/>
        <w:tblCellMar>
          <w:left w:w="70" w:type="dxa"/>
          <w:right w:w="70" w:type="dxa"/>
        </w:tblCellMar>
        <w:tblLook w:val="0000" w:firstRow="0" w:lastRow="0" w:firstColumn="0" w:lastColumn="0" w:noHBand="0" w:noVBand="0"/>
      </w:tblPr>
      <w:tblGrid>
        <w:gridCol w:w="3060"/>
        <w:gridCol w:w="1200"/>
        <w:gridCol w:w="1200"/>
        <w:gridCol w:w="1200"/>
      </w:tblGrid>
      <w:tr w:rsidR="00367458" w:rsidRPr="00B67CAB">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367458" w:rsidRPr="00B67CAB" w:rsidRDefault="00367458">
            <w:pPr>
              <w:spacing w:after="0"/>
              <w:ind w:firstLine="0"/>
              <w:jc w:val="left"/>
              <w:rPr>
                <w:rFonts w:ascii="Arial" w:eastAsiaTheme="minorEastAsia" w:hAnsi="Arial" w:cs="Arial"/>
                <w:sz w:val="20"/>
                <w:szCs w:val="20"/>
                <w:lang w:eastAsia="fr-FR"/>
              </w:rPr>
            </w:pPr>
            <w:r w:rsidRPr="00B67CAB">
              <w:rPr>
                <w:rFonts w:ascii="Arial" w:eastAsiaTheme="minorEastAsia" w:hAnsi="Arial" w:cs="Arial"/>
                <w:sz w:val="20"/>
                <w:szCs w:val="20"/>
                <w:lang w:eastAsia="fr-FR"/>
              </w:rPr>
              <w:t> </w:t>
            </w:r>
          </w:p>
        </w:tc>
        <w:tc>
          <w:tcPr>
            <w:tcW w:w="1200" w:type="dxa"/>
            <w:tcBorders>
              <w:top w:val="single" w:sz="4" w:space="0" w:color="auto"/>
              <w:left w:val="nil"/>
              <w:bottom w:val="single" w:sz="4" w:space="0" w:color="auto"/>
              <w:right w:val="single" w:sz="4" w:space="0" w:color="auto"/>
            </w:tcBorders>
            <w:noWrap/>
            <w:vAlign w:val="bottom"/>
          </w:tcPr>
          <w:p w:rsidR="00367458" w:rsidRPr="00B67CAB" w:rsidRDefault="00367458">
            <w:pPr>
              <w:spacing w:after="0"/>
              <w:ind w:firstLine="0"/>
              <w:jc w:val="center"/>
              <w:rPr>
                <w:rFonts w:ascii="Arial" w:eastAsiaTheme="minorEastAsia" w:hAnsi="Arial" w:cs="Arial"/>
                <w:b/>
                <w:bCs/>
                <w:sz w:val="20"/>
                <w:szCs w:val="20"/>
                <w:lang w:eastAsia="fr-FR"/>
              </w:rPr>
            </w:pPr>
            <w:r w:rsidRPr="00B67CAB">
              <w:rPr>
                <w:rFonts w:ascii="Arial" w:eastAsiaTheme="minorEastAsia" w:hAnsi="Arial" w:cs="Arial"/>
                <w:b/>
                <w:bCs/>
                <w:sz w:val="20"/>
                <w:szCs w:val="20"/>
                <w:lang w:eastAsia="fr-FR"/>
              </w:rPr>
              <w:t>2002</w:t>
            </w:r>
          </w:p>
        </w:tc>
        <w:tc>
          <w:tcPr>
            <w:tcW w:w="1200" w:type="dxa"/>
            <w:tcBorders>
              <w:top w:val="single" w:sz="4" w:space="0" w:color="auto"/>
              <w:left w:val="nil"/>
              <w:bottom w:val="single" w:sz="4" w:space="0" w:color="auto"/>
              <w:right w:val="single" w:sz="4" w:space="0" w:color="auto"/>
            </w:tcBorders>
            <w:noWrap/>
            <w:vAlign w:val="bottom"/>
          </w:tcPr>
          <w:p w:rsidR="00367458" w:rsidRPr="00B67CAB" w:rsidRDefault="00367458">
            <w:pPr>
              <w:spacing w:after="0"/>
              <w:ind w:firstLine="0"/>
              <w:jc w:val="center"/>
              <w:rPr>
                <w:rFonts w:ascii="Arial" w:eastAsiaTheme="minorEastAsia" w:hAnsi="Arial" w:cs="Arial"/>
                <w:b/>
                <w:bCs/>
                <w:sz w:val="20"/>
                <w:szCs w:val="20"/>
                <w:lang w:eastAsia="fr-FR"/>
              </w:rPr>
            </w:pPr>
            <w:r w:rsidRPr="00B67CAB">
              <w:rPr>
                <w:rFonts w:ascii="Arial" w:eastAsiaTheme="minorEastAsia" w:hAnsi="Arial" w:cs="Arial"/>
                <w:b/>
                <w:bCs/>
                <w:sz w:val="20"/>
                <w:szCs w:val="20"/>
                <w:lang w:eastAsia="fr-FR"/>
              </w:rPr>
              <w:t>2007</w:t>
            </w:r>
          </w:p>
        </w:tc>
        <w:tc>
          <w:tcPr>
            <w:tcW w:w="1200" w:type="dxa"/>
            <w:tcBorders>
              <w:top w:val="single" w:sz="4" w:space="0" w:color="auto"/>
              <w:left w:val="nil"/>
              <w:bottom w:val="single" w:sz="4" w:space="0" w:color="auto"/>
              <w:right w:val="single" w:sz="4" w:space="0" w:color="auto"/>
            </w:tcBorders>
            <w:noWrap/>
            <w:vAlign w:val="bottom"/>
          </w:tcPr>
          <w:p w:rsidR="00367458" w:rsidRPr="00B67CAB" w:rsidRDefault="00367458">
            <w:pPr>
              <w:spacing w:after="0"/>
              <w:ind w:firstLine="0"/>
              <w:jc w:val="center"/>
              <w:rPr>
                <w:rFonts w:ascii="Arial" w:eastAsiaTheme="minorEastAsia" w:hAnsi="Arial" w:cs="Arial"/>
                <w:b/>
                <w:bCs/>
                <w:sz w:val="20"/>
                <w:szCs w:val="20"/>
                <w:lang w:eastAsia="fr-FR"/>
              </w:rPr>
            </w:pPr>
            <w:r w:rsidRPr="00B67CAB">
              <w:rPr>
                <w:rFonts w:ascii="Arial" w:eastAsiaTheme="minorEastAsia" w:hAnsi="Arial" w:cs="Arial"/>
                <w:b/>
                <w:bCs/>
                <w:sz w:val="20"/>
                <w:szCs w:val="20"/>
                <w:lang w:eastAsia="fr-FR"/>
              </w:rPr>
              <w:t>2011</w:t>
            </w:r>
          </w:p>
        </w:tc>
      </w:tr>
      <w:tr w:rsidR="00367458" w:rsidRPr="00B67CAB">
        <w:trPr>
          <w:trHeight w:val="255"/>
        </w:trPr>
        <w:tc>
          <w:tcPr>
            <w:tcW w:w="3060" w:type="dxa"/>
            <w:tcBorders>
              <w:top w:val="nil"/>
              <w:left w:val="single" w:sz="4" w:space="0" w:color="auto"/>
              <w:bottom w:val="nil"/>
              <w:right w:val="single" w:sz="4" w:space="0" w:color="auto"/>
            </w:tcBorders>
            <w:noWrap/>
            <w:vAlign w:val="bottom"/>
          </w:tcPr>
          <w:p w:rsidR="00367458" w:rsidRPr="00B67CAB" w:rsidRDefault="00367458">
            <w:pPr>
              <w:spacing w:after="0"/>
              <w:ind w:firstLine="0"/>
              <w:jc w:val="left"/>
              <w:rPr>
                <w:rFonts w:ascii="Arial" w:eastAsiaTheme="minorEastAsia" w:hAnsi="Arial" w:cs="Arial"/>
                <w:sz w:val="20"/>
                <w:szCs w:val="20"/>
                <w:lang w:eastAsia="fr-FR"/>
              </w:rPr>
            </w:pPr>
            <w:r w:rsidRPr="00B67CAB">
              <w:rPr>
                <w:rFonts w:ascii="Arial" w:eastAsiaTheme="minorEastAsia" w:hAnsi="Arial" w:cs="Arial"/>
                <w:sz w:val="20"/>
                <w:szCs w:val="20"/>
                <w:lang w:eastAsia="fr-FR"/>
              </w:rPr>
              <w:t>1er décile (D1)</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10 330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10 680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10 530</w:t>
            </w:r>
          </w:p>
        </w:tc>
      </w:tr>
      <w:tr w:rsidR="00367458" w:rsidRPr="00B67CAB">
        <w:trPr>
          <w:trHeight w:val="255"/>
        </w:trPr>
        <w:tc>
          <w:tcPr>
            <w:tcW w:w="3060" w:type="dxa"/>
            <w:tcBorders>
              <w:top w:val="nil"/>
              <w:left w:val="single" w:sz="4" w:space="0" w:color="auto"/>
              <w:bottom w:val="nil"/>
              <w:right w:val="single" w:sz="4" w:space="0" w:color="auto"/>
            </w:tcBorders>
            <w:noWrap/>
            <w:vAlign w:val="bottom"/>
          </w:tcPr>
          <w:p w:rsidR="00367458" w:rsidRPr="00B67CAB" w:rsidRDefault="00367458">
            <w:pPr>
              <w:spacing w:after="0"/>
              <w:ind w:firstLine="0"/>
              <w:jc w:val="left"/>
              <w:rPr>
                <w:rFonts w:ascii="Arial" w:eastAsiaTheme="minorEastAsia" w:hAnsi="Arial" w:cs="Arial"/>
                <w:sz w:val="20"/>
                <w:szCs w:val="20"/>
                <w:lang w:eastAsia="fr-FR"/>
              </w:rPr>
            </w:pPr>
            <w:r w:rsidRPr="00B67CAB">
              <w:rPr>
                <w:rFonts w:ascii="Arial" w:eastAsiaTheme="minorEastAsia" w:hAnsi="Arial" w:cs="Arial"/>
                <w:sz w:val="20"/>
                <w:szCs w:val="20"/>
                <w:lang w:eastAsia="fr-FR"/>
              </w:rPr>
              <w:t>2ème décile (D2)</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12 730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13 230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13 160</w:t>
            </w:r>
          </w:p>
        </w:tc>
      </w:tr>
      <w:tr w:rsidR="00367458" w:rsidRPr="00B67CAB">
        <w:trPr>
          <w:trHeight w:val="255"/>
        </w:trPr>
        <w:tc>
          <w:tcPr>
            <w:tcW w:w="3060" w:type="dxa"/>
            <w:tcBorders>
              <w:top w:val="nil"/>
              <w:left w:val="single" w:sz="4" w:space="0" w:color="auto"/>
              <w:bottom w:val="nil"/>
              <w:right w:val="single" w:sz="4" w:space="0" w:color="auto"/>
            </w:tcBorders>
            <w:noWrap/>
            <w:vAlign w:val="bottom"/>
          </w:tcPr>
          <w:p w:rsidR="00367458" w:rsidRPr="00B67CAB" w:rsidRDefault="00367458">
            <w:pPr>
              <w:spacing w:after="0"/>
              <w:ind w:firstLine="0"/>
              <w:jc w:val="left"/>
              <w:rPr>
                <w:rFonts w:ascii="Arial" w:eastAsiaTheme="minorEastAsia" w:hAnsi="Arial" w:cs="Arial"/>
                <w:sz w:val="20"/>
                <w:szCs w:val="20"/>
                <w:lang w:eastAsia="fr-FR"/>
              </w:rPr>
            </w:pPr>
            <w:r w:rsidRPr="00B67CAB">
              <w:rPr>
                <w:rFonts w:ascii="Arial" w:eastAsiaTheme="minorEastAsia" w:hAnsi="Arial" w:cs="Arial"/>
                <w:sz w:val="20"/>
                <w:szCs w:val="20"/>
                <w:lang w:eastAsia="fr-FR"/>
              </w:rPr>
              <w:t>3ème décile (D3)</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14 660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15 330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15 350</w:t>
            </w:r>
          </w:p>
        </w:tc>
      </w:tr>
      <w:tr w:rsidR="00367458" w:rsidRPr="00B67CAB">
        <w:trPr>
          <w:trHeight w:val="255"/>
        </w:trPr>
        <w:tc>
          <w:tcPr>
            <w:tcW w:w="3060" w:type="dxa"/>
            <w:tcBorders>
              <w:top w:val="nil"/>
              <w:left w:val="single" w:sz="4" w:space="0" w:color="auto"/>
              <w:bottom w:val="nil"/>
              <w:right w:val="single" w:sz="4" w:space="0" w:color="auto"/>
            </w:tcBorders>
            <w:noWrap/>
            <w:vAlign w:val="bottom"/>
          </w:tcPr>
          <w:p w:rsidR="00367458" w:rsidRPr="00B67CAB" w:rsidRDefault="00367458">
            <w:pPr>
              <w:spacing w:after="0"/>
              <w:ind w:firstLine="0"/>
              <w:jc w:val="left"/>
              <w:rPr>
                <w:rFonts w:ascii="Arial" w:eastAsiaTheme="minorEastAsia" w:hAnsi="Arial" w:cs="Arial"/>
                <w:sz w:val="20"/>
                <w:szCs w:val="20"/>
                <w:lang w:eastAsia="fr-FR"/>
              </w:rPr>
            </w:pPr>
            <w:r w:rsidRPr="00B67CAB">
              <w:rPr>
                <w:rFonts w:ascii="Arial" w:eastAsiaTheme="minorEastAsia" w:hAnsi="Arial" w:cs="Arial"/>
                <w:sz w:val="20"/>
                <w:szCs w:val="20"/>
                <w:lang w:eastAsia="fr-FR"/>
              </w:rPr>
              <w:t>4ème décile (D4)</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16 550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17 290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17 400</w:t>
            </w:r>
          </w:p>
        </w:tc>
      </w:tr>
      <w:tr w:rsidR="00367458" w:rsidRPr="00B67CAB">
        <w:trPr>
          <w:trHeight w:val="255"/>
        </w:trPr>
        <w:tc>
          <w:tcPr>
            <w:tcW w:w="3060" w:type="dxa"/>
            <w:tcBorders>
              <w:top w:val="nil"/>
              <w:left w:val="single" w:sz="4" w:space="0" w:color="auto"/>
              <w:bottom w:val="nil"/>
              <w:right w:val="single" w:sz="4" w:space="0" w:color="auto"/>
            </w:tcBorders>
            <w:noWrap/>
            <w:vAlign w:val="bottom"/>
          </w:tcPr>
          <w:p w:rsidR="00367458" w:rsidRPr="00B67CAB" w:rsidRDefault="00367458">
            <w:pPr>
              <w:spacing w:after="0"/>
              <w:ind w:firstLine="0"/>
              <w:jc w:val="left"/>
              <w:rPr>
                <w:rFonts w:ascii="Arial" w:eastAsiaTheme="minorEastAsia" w:hAnsi="Arial" w:cs="Arial"/>
                <w:sz w:val="20"/>
                <w:szCs w:val="20"/>
                <w:lang w:eastAsia="fr-FR"/>
              </w:rPr>
            </w:pPr>
            <w:r w:rsidRPr="00B67CAB">
              <w:rPr>
                <w:rFonts w:ascii="Arial" w:eastAsiaTheme="minorEastAsia" w:hAnsi="Arial" w:cs="Arial"/>
                <w:sz w:val="20"/>
                <w:szCs w:val="20"/>
                <w:lang w:eastAsia="fr-FR"/>
              </w:rPr>
              <w:t xml:space="preserve">Médiane (D5) </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18 530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19 380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19 550</w:t>
            </w:r>
          </w:p>
        </w:tc>
      </w:tr>
      <w:tr w:rsidR="00367458" w:rsidRPr="00B67CAB">
        <w:trPr>
          <w:trHeight w:val="255"/>
        </w:trPr>
        <w:tc>
          <w:tcPr>
            <w:tcW w:w="3060" w:type="dxa"/>
            <w:tcBorders>
              <w:top w:val="nil"/>
              <w:left w:val="single" w:sz="4" w:space="0" w:color="auto"/>
              <w:bottom w:val="nil"/>
              <w:right w:val="single" w:sz="4" w:space="0" w:color="auto"/>
            </w:tcBorders>
            <w:noWrap/>
            <w:vAlign w:val="bottom"/>
          </w:tcPr>
          <w:p w:rsidR="00367458" w:rsidRPr="00B67CAB" w:rsidRDefault="00367458">
            <w:pPr>
              <w:spacing w:after="0"/>
              <w:ind w:firstLine="0"/>
              <w:jc w:val="left"/>
              <w:rPr>
                <w:rFonts w:ascii="Arial" w:eastAsiaTheme="minorEastAsia" w:hAnsi="Arial" w:cs="Arial"/>
                <w:sz w:val="20"/>
                <w:szCs w:val="20"/>
                <w:lang w:eastAsia="fr-FR"/>
              </w:rPr>
            </w:pPr>
            <w:r w:rsidRPr="00B67CAB">
              <w:rPr>
                <w:rFonts w:ascii="Arial" w:eastAsiaTheme="minorEastAsia" w:hAnsi="Arial" w:cs="Arial"/>
                <w:sz w:val="20"/>
                <w:szCs w:val="20"/>
                <w:lang w:eastAsia="fr-FR"/>
              </w:rPr>
              <w:t>6ème décile (D6)</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20 760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21 680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21 920</w:t>
            </w:r>
          </w:p>
        </w:tc>
      </w:tr>
      <w:tr w:rsidR="00367458" w:rsidRPr="00B67CAB">
        <w:trPr>
          <w:trHeight w:val="255"/>
        </w:trPr>
        <w:tc>
          <w:tcPr>
            <w:tcW w:w="3060" w:type="dxa"/>
            <w:tcBorders>
              <w:top w:val="nil"/>
              <w:left w:val="single" w:sz="4" w:space="0" w:color="auto"/>
              <w:bottom w:val="nil"/>
              <w:right w:val="single" w:sz="4" w:space="0" w:color="auto"/>
            </w:tcBorders>
            <w:noWrap/>
            <w:vAlign w:val="bottom"/>
          </w:tcPr>
          <w:p w:rsidR="00367458" w:rsidRPr="00B67CAB" w:rsidRDefault="00367458">
            <w:pPr>
              <w:spacing w:after="0"/>
              <w:ind w:firstLine="0"/>
              <w:jc w:val="left"/>
              <w:rPr>
                <w:rFonts w:ascii="Arial" w:eastAsiaTheme="minorEastAsia" w:hAnsi="Arial" w:cs="Arial"/>
                <w:sz w:val="20"/>
                <w:szCs w:val="20"/>
                <w:lang w:eastAsia="fr-FR"/>
              </w:rPr>
            </w:pPr>
            <w:r w:rsidRPr="00B67CAB">
              <w:rPr>
                <w:rFonts w:ascii="Arial" w:eastAsiaTheme="minorEastAsia" w:hAnsi="Arial" w:cs="Arial"/>
                <w:sz w:val="20"/>
                <w:szCs w:val="20"/>
                <w:lang w:eastAsia="fr-FR"/>
              </w:rPr>
              <w:t>7ème décile (D7)</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23 520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24 510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24 910</w:t>
            </w:r>
          </w:p>
        </w:tc>
      </w:tr>
      <w:tr w:rsidR="00367458" w:rsidRPr="00B67CAB">
        <w:trPr>
          <w:trHeight w:val="255"/>
        </w:trPr>
        <w:tc>
          <w:tcPr>
            <w:tcW w:w="3060" w:type="dxa"/>
            <w:tcBorders>
              <w:top w:val="nil"/>
              <w:left w:val="single" w:sz="4" w:space="0" w:color="auto"/>
              <w:bottom w:val="nil"/>
              <w:right w:val="single" w:sz="4" w:space="0" w:color="auto"/>
            </w:tcBorders>
            <w:noWrap/>
            <w:vAlign w:val="bottom"/>
          </w:tcPr>
          <w:p w:rsidR="00367458" w:rsidRPr="00B67CAB" w:rsidRDefault="00367458">
            <w:pPr>
              <w:spacing w:after="0"/>
              <w:ind w:firstLine="0"/>
              <w:jc w:val="left"/>
              <w:rPr>
                <w:rFonts w:ascii="Arial" w:eastAsiaTheme="minorEastAsia" w:hAnsi="Arial" w:cs="Arial"/>
                <w:sz w:val="20"/>
                <w:szCs w:val="20"/>
                <w:lang w:eastAsia="fr-FR"/>
              </w:rPr>
            </w:pPr>
            <w:r w:rsidRPr="00B67CAB">
              <w:rPr>
                <w:rFonts w:ascii="Arial" w:eastAsiaTheme="minorEastAsia" w:hAnsi="Arial" w:cs="Arial"/>
                <w:sz w:val="20"/>
                <w:szCs w:val="20"/>
                <w:lang w:eastAsia="fr-FR"/>
              </w:rPr>
              <w:t>8ème décile (D8)</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27 460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28 410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29 110</w:t>
            </w:r>
          </w:p>
        </w:tc>
      </w:tr>
      <w:tr w:rsidR="00367458" w:rsidRPr="00B67CAB">
        <w:trPr>
          <w:trHeight w:val="255"/>
        </w:trPr>
        <w:tc>
          <w:tcPr>
            <w:tcW w:w="3060" w:type="dxa"/>
            <w:tcBorders>
              <w:top w:val="nil"/>
              <w:left w:val="single" w:sz="4" w:space="0" w:color="auto"/>
              <w:bottom w:val="nil"/>
              <w:right w:val="single" w:sz="4" w:space="0" w:color="auto"/>
            </w:tcBorders>
            <w:noWrap/>
            <w:vAlign w:val="bottom"/>
          </w:tcPr>
          <w:p w:rsidR="00367458" w:rsidRPr="00B67CAB" w:rsidRDefault="00367458">
            <w:pPr>
              <w:spacing w:after="0"/>
              <w:ind w:firstLine="0"/>
              <w:jc w:val="left"/>
              <w:rPr>
                <w:rFonts w:ascii="Arial" w:eastAsiaTheme="minorEastAsia" w:hAnsi="Arial" w:cs="Arial"/>
                <w:sz w:val="20"/>
                <w:szCs w:val="20"/>
                <w:lang w:eastAsia="fr-FR"/>
              </w:rPr>
            </w:pPr>
            <w:r w:rsidRPr="00B67CAB">
              <w:rPr>
                <w:rFonts w:ascii="Arial" w:eastAsiaTheme="minorEastAsia" w:hAnsi="Arial" w:cs="Arial"/>
                <w:sz w:val="20"/>
                <w:szCs w:val="20"/>
                <w:lang w:eastAsia="fr-FR"/>
              </w:rPr>
              <w:t xml:space="preserve">9ème décile (D9) </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35 060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36 170</w:t>
            </w:r>
          </w:p>
        </w:tc>
        <w:tc>
          <w:tcPr>
            <w:tcW w:w="1200" w:type="dxa"/>
            <w:tcBorders>
              <w:top w:val="nil"/>
              <w:left w:val="nil"/>
              <w:bottom w:val="nil"/>
              <w:right w:val="single" w:sz="4" w:space="0" w:color="auto"/>
            </w:tcBorders>
            <w:noWrap/>
            <w:vAlign w:val="bottom"/>
          </w:tcPr>
          <w:p w:rsidR="00367458" w:rsidRPr="00B67CAB" w:rsidRDefault="00367458">
            <w:pPr>
              <w:spacing w:after="0"/>
              <w:ind w:firstLine="0"/>
              <w:jc w:val="right"/>
              <w:rPr>
                <w:rFonts w:ascii="Arial" w:eastAsiaTheme="minorEastAsia" w:hAnsi="Arial" w:cs="Arial"/>
                <w:sz w:val="20"/>
                <w:szCs w:val="20"/>
                <w:lang w:eastAsia="fr-FR"/>
              </w:rPr>
            </w:pPr>
            <w:r w:rsidRPr="00B67CAB">
              <w:rPr>
                <w:rFonts w:ascii="Arial" w:eastAsiaTheme="minorEastAsia" w:hAnsi="Arial" w:cs="Arial"/>
                <w:sz w:val="20"/>
                <w:szCs w:val="20"/>
                <w:lang w:eastAsia="fr-FR"/>
              </w:rPr>
              <w:t>37 450</w:t>
            </w:r>
          </w:p>
        </w:tc>
      </w:tr>
      <w:tr w:rsidR="00367458" w:rsidRPr="00B67CAB">
        <w:trPr>
          <w:trHeight w:val="255"/>
        </w:trPr>
        <w:tc>
          <w:tcPr>
            <w:tcW w:w="3060" w:type="dxa"/>
            <w:tcBorders>
              <w:top w:val="nil"/>
              <w:left w:val="single" w:sz="4" w:space="0" w:color="auto"/>
              <w:bottom w:val="single" w:sz="4" w:space="0" w:color="auto"/>
              <w:right w:val="single" w:sz="4" w:space="0" w:color="auto"/>
            </w:tcBorders>
            <w:noWrap/>
            <w:vAlign w:val="bottom"/>
          </w:tcPr>
          <w:p w:rsidR="00367458" w:rsidRPr="00B67CAB" w:rsidRDefault="00367458">
            <w:pPr>
              <w:spacing w:after="0"/>
              <w:ind w:firstLine="0"/>
              <w:jc w:val="left"/>
              <w:rPr>
                <w:rFonts w:ascii="Arial" w:eastAsiaTheme="minorEastAsia" w:hAnsi="Arial" w:cs="Arial"/>
                <w:b/>
                <w:bCs/>
                <w:sz w:val="20"/>
                <w:szCs w:val="20"/>
                <w:lang w:eastAsia="fr-FR"/>
              </w:rPr>
            </w:pPr>
            <w:r w:rsidRPr="00B67CAB">
              <w:rPr>
                <w:rFonts w:ascii="Arial" w:eastAsiaTheme="minorEastAsia" w:hAnsi="Arial" w:cs="Arial"/>
                <w:b/>
                <w:bCs/>
                <w:sz w:val="20"/>
                <w:szCs w:val="20"/>
                <w:lang w:eastAsia="fr-FR"/>
              </w:rPr>
              <w:t xml:space="preserve">Rapport </w:t>
            </w:r>
            <w:proofErr w:type="spellStart"/>
            <w:r w:rsidRPr="00B67CAB">
              <w:rPr>
                <w:rFonts w:ascii="Arial" w:eastAsiaTheme="minorEastAsia" w:hAnsi="Arial" w:cs="Arial"/>
                <w:b/>
                <w:bCs/>
                <w:sz w:val="20"/>
                <w:szCs w:val="20"/>
                <w:lang w:eastAsia="fr-FR"/>
              </w:rPr>
              <w:t>interdécile</w:t>
            </w:r>
            <w:proofErr w:type="spellEnd"/>
            <w:r w:rsidRPr="00B67CAB">
              <w:rPr>
                <w:rFonts w:ascii="Arial" w:eastAsiaTheme="minorEastAsia" w:hAnsi="Arial" w:cs="Arial"/>
                <w:b/>
                <w:bCs/>
                <w:sz w:val="20"/>
                <w:szCs w:val="20"/>
                <w:lang w:eastAsia="fr-FR"/>
              </w:rPr>
              <w:t xml:space="preserve"> (D9/D1) </w:t>
            </w:r>
          </w:p>
        </w:tc>
        <w:tc>
          <w:tcPr>
            <w:tcW w:w="1200" w:type="dxa"/>
            <w:tcBorders>
              <w:top w:val="nil"/>
              <w:left w:val="nil"/>
              <w:bottom w:val="single" w:sz="4" w:space="0" w:color="auto"/>
              <w:right w:val="single" w:sz="4" w:space="0" w:color="auto"/>
            </w:tcBorders>
            <w:noWrap/>
            <w:vAlign w:val="bottom"/>
          </w:tcPr>
          <w:p w:rsidR="00367458" w:rsidRPr="00B67CAB" w:rsidRDefault="00367458">
            <w:pPr>
              <w:spacing w:after="0"/>
              <w:ind w:firstLine="0"/>
              <w:jc w:val="right"/>
              <w:rPr>
                <w:rFonts w:ascii="Arial" w:eastAsiaTheme="minorEastAsia" w:hAnsi="Arial" w:cs="Arial"/>
                <w:b/>
                <w:bCs/>
                <w:sz w:val="20"/>
                <w:szCs w:val="20"/>
                <w:lang w:eastAsia="fr-FR"/>
              </w:rPr>
            </w:pPr>
            <w:r w:rsidRPr="00B67CAB">
              <w:rPr>
                <w:rFonts w:ascii="Arial" w:eastAsiaTheme="minorEastAsia" w:hAnsi="Arial" w:cs="Arial"/>
                <w:b/>
                <w:bCs/>
                <w:sz w:val="20"/>
                <w:szCs w:val="20"/>
                <w:lang w:eastAsia="fr-FR"/>
              </w:rPr>
              <w:t>3,39</w:t>
            </w:r>
          </w:p>
        </w:tc>
        <w:tc>
          <w:tcPr>
            <w:tcW w:w="1200" w:type="dxa"/>
            <w:tcBorders>
              <w:top w:val="nil"/>
              <w:left w:val="nil"/>
              <w:bottom w:val="single" w:sz="4" w:space="0" w:color="auto"/>
              <w:right w:val="single" w:sz="4" w:space="0" w:color="auto"/>
            </w:tcBorders>
            <w:noWrap/>
            <w:vAlign w:val="bottom"/>
          </w:tcPr>
          <w:p w:rsidR="00367458" w:rsidRPr="00B67CAB" w:rsidRDefault="00367458">
            <w:pPr>
              <w:spacing w:after="0"/>
              <w:ind w:firstLine="0"/>
              <w:jc w:val="right"/>
              <w:rPr>
                <w:rFonts w:ascii="Arial" w:eastAsiaTheme="minorEastAsia" w:hAnsi="Arial" w:cs="Arial"/>
                <w:b/>
                <w:bCs/>
                <w:sz w:val="20"/>
                <w:szCs w:val="20"/>
                <w:lang w:eastAsia="fr-FR"/>
              </w:rPr>
            </w:pPr>
            <w:r w:rsidRPr="00B67CAB">
              <w:rPr>
                <w:rFonts w:ascii="Arial" w:eastAsiaTheme="minorEastAsia" w:hAnsi="Arial" w:cs="Arial"/>
                <w:b/>
                <w:bCs/>
                <w:sz w:val="20"/>
                <w:szCs w:val="20"/>
                <w:lang w:eastAsia="fr-FR"/>
              </w:rPr>
              <w:t>3,39</w:t>
            </w:r>
          </w:p>
        </w:tc>
        <w:tc>
          <w:tcPr>
            <w:tcW w:w="1200" w:type="dxa"/>
            <w:tcBorders>
              <w:top w:val="nil"/>
              <w:left w:val="nil"/>
              <w:bottom w:val="single" w:sz="4" w:space="0" w:color="auto"/>
              <w:right w:val="single" w:sz="4" w:space="0" w:color="auto"/>
            </w:tcBorders>
            <w:noWrap/>
            <w:vAlign w:val="bottom"/>
          </w:tcPr>
          <w:p w:rsidR="00367458" w:rsidRPr="00B67CAB" w:rsidRDefault="00367458">
            <w:pPr>
              <w:spacing w:after="0"/>
              <w:ind w:firstLine="0"/>
              <w:jc w:val="right"/>
              <w:rPr>
                <w:rFonts w:ascii="Arial" w:eastAsiaTheme="minorEastAsia" w:hAnsi="Arial" w:cs="Arial"/>
                <w:b/>
                <w:bCs/>
                <w:sz w:val="20"/>
                <w:szCs w:val="20"/>
                <w:lang w:eastAsia="fr-FR"/>
              </w:rPr>
            </w:pPr>
            <w:r w:rsidRPr="00B67CAB">
              <w:rPr>
                <w:rFonts w:ascii="Arial" w:eastAsiaTheme="minorEastAsia" w:hAnsi="Arial" w:cs="Arial"/>
                <w:b/>
                <w:bCs/>
                <w:sz w:val="20"/>
                <w:szCs w:val="20"/>
                <w:lang w:eastAsia="fr-FR"/>
              </w:rPr>
              <w:t>3,56</w:t>
            </w:r>
          </w:p>
        </w:tc>
      </w:tr>
    </w:tbl>
    <w:p w:rsidR="00367458" w:rsidRDefault="00367458">
      <w:pPr>
        <w:ind w:firstLine="0"/>
        <w:rPr>
          <w:rFonts w:ascii="Times New Roman" w:hAnsi="Times New Roman" w:cs="Times New Roman"/>
        </w:rPr>
      </w:pPr>
      <w:r>
        <w:t>Champ : France métropolitaine, personnes vivant dans un ménage dont le revenu déclaré au fisc est positif ou nul et dont la personne de référence n'est pas étudiante.</w:t>
      </w:r>
    </w:p>
    <w:p w:rsidR="00367458" w:rsidRDefault="00367458">
      <w:pPr>
        <w:ind w:firstLine="0"/>
      </w:pPr>
      <w:r>
        <w:t>Sources : Insee-DGI, enquêtes Revenus fiscaux et sociaux, Insee-</w:t>
      </w:r>
      <w:proofErr w:type="spellStart"/>
      <w:r>
        <w:t>DGFiP</w:t>
      </w:r>
      <w:proofErr w:type="spellEnd"/>
      <w:r>
        <w:t>-</w:t>
      </w:r>
      <w:proofErr w:type="spellStart"/>
      <w:r>
        <w:t>Cnaf</w:t>
      </w:r>
      <w:proofErr w:type="spellEnd"/>
      <w:r>
        <w:t>-</w:t>
      </w:r>
      <w:proofErr w:type="spellStart"/>
      <w:r>
        <w:t>Cnav</w:t>
      </w:r>
      <w:proofErr w:type="spellEnd"/>
      <w:r>
        <w:t>-CCMSA.</w:t>
      </w:r>
    </w:p>
    <w:p w:rsidR="00367458" w:rsidRDefault="00367458">
      <w:pPr>
        <w:ind w:firstLine="0"/>
      </w:pPr>
    </w:p>
    <w:p w:rsidR="00367458" w:rsidRDefault="00367458"/>
    <w:p w:rsidR="00367458" w:rsidRDefault="00367458">
      <w:pPr>
        <w:spacing w:after="120"/>
        <w:ind w:firstLine="0"/>
        <w:rPr>
          <w:rFonts w:ascii="Times New Roman" w:hAnsi="Times New Roman" w:cs="Times New Roman"/>
          <w:b/>
          <w:bCs/>
        </w:rPr>
      </w:pPr>
      <w:r>
        <w:rPr>
          <w:b/>
          <w:bCs/>
        </w:rPr>
        <w:t xml:space="preserve">Après avoir présenté le document, vous mettrez en évidence les évolutions des inégalités de niveaux </w:t>
      </w:r>
      <w:r w:rsidR="00A5024F">
        <w:rPr>
          <w:b/>
          <w:bCs/>
        </w:rPr>
        <w:t xml:space="preserve">de vie </w:t>
      </w:r>
      <w:r>
        <w:rPr>
          <w:b/>
          <w:bCs/>
        </w:rPr>
        <w:t>des ménages en France.</w:t>
      </w:r>
    </w:p>
    <w:p w:rsidR="00367458" w:rsidRDefault="00367458">
      <w:pPr>
        <w:spacing w:after="120"/>
        <w:ind w:firstLine="0"/>
      </w:pPr>
      <w:r>
        <w:t xml:space="preserve">Ce document </w:t>
      </w:r>
      <w:r w:rsidR="00A5024F">
        <w:t xml:space="preserve">statistique </w:t>
      </w:r>
      <w:r>
        <w:t xml:space="preserve">est proposé par une collaboration entre l'INSEE, la DGI (Direction Générale des Impôts) et d'autres organismes à partir d'une enquête longitudinale sur les revenus fiscaux et sociaux réalisée en 2002, 2007 et 2011. A partir d'un échantillon représentatif de personnes vivant dans un ménage dont le revenu déclaré au fisc est positif ou nul et dont la personne de référence n'est pas étudiante, les statisticiens de ces organismes ont établi une répartition de la population en déciles (seuils). </w:t>
      </w:r>
      <w:r w:rsidRPr="00952447">
        <w:rPr>
          <w:i/>
          <w:iCs/>
        </w:rPr>
        <w:t>Après avoir interrogé ces personnes, ils ont calculé leur niveau de vie en divisant le revenu disponible du ménage par un coefficient calculé à partir de l'échelle d'Oxford (le premier adulte compte pour 1, les adultes suivants comme les enfants de plus de 14 ans comptent pour 0,5 et les enfants de moins de 14 ans pèsent pour 0,3), échelle qui tient compte des économies d'échelle possible au sein du foyer</w:t>
      </w:r>
      <w:r>
        <w:t xml:space="preserve">. A partir de là, les personnes interrogées ont été rangés par ordre croissant de niveau de vie puis cette population ainsi rangée a été découpée en 10 groupes de même effectif. Les déciles sont les seuils de niveau de vie des individus qui permettent de passer d'un groupe à l'autre. Par exemple, le 1er décile, soit 10 330 €, est le niveau de vie de l'individu ayant le plus haut niveau de vie dans le groupe des 10% les plus pauvres. On considère qu'il est égal au niveau de vie de l'individu le plus pauvre des 90% les plus riches. Le rapport </w:t>
      </w:r>
      <w:proofErr w:type="spellStart"/>
      <w:r>
        <w:t>interdécile</w:t>
      </w:r>
      <w:proofErr w:type="spellEnd"/>
      <w:r>
        <w:t xml:space="preserve"> donne une mesure minimale de l'écart de niveau de vie entre les 10% les plus riches et les 10% des ménages les plus pauvres. Ce document donne donc une indication des évolutions des inégalités de niveaux de vie entre les ménages vivant en France métropolitaine.</w:t>
      </w:r>
    </w:p>
    <w:p w:rsidR="00367458" w:rsidRDefault="00367458">
      <w:pPr>
        <w:spacing w:after="120"/>
        <w:ind w:firstLine="0"/>
      </w:pPr>
      <w:r>
        <w:t xml:space="preserve">Les inégalités de niveau de vie se sont accrues : après être resté stable entre 2002 et 2007, le rapport </w:t>
      </w:r>
      <w:proofErr w:type="spellStart"/>
      <w:r>
        <w:t>interdécile</w:t>
      </w:r>
      <w:proofErr w:type="spellEnd"/>
      <w:r>
        <w:t xml:space="preserve"> a augmenté de 0,17 point entre 2007 et 2011. Cette augmentation résulte des évolutions contrastées de D1 et D9. En effet, alors que le moins riche des 10% les plus riches voit son niveau de vie passer de 36 170€ à 37 450€, </w:t>
      </w:r>
      <w:r w:rsidR="00952447">
        <w:t xml:space="preserve">soit une augmentation de 1280€, </w:t>
      </w:r>
      <w:r>
        <w:t xml:space="preserve">le niveau de vie du plus riche des 10% les plus pauvres baisse </w:t>
      </w:r>
      <w:r w:rsidR="00952447">
        <w:t xml:space="preserve">de 150€ </w:t>
      </w:r>
      <w:r>
        <w:t>en passant de 10 680€ à 10 530€. Le niveau de vie du plus riche des 20% les plus pauvres (équivalent au niveau de vie du plus pauvre des 80% les plus riches)</w:t>
      </w:r>
      <w:r w:rsidR="00A5024F">
        <w:t xml:space="preserve"> </w:t>
      </w:r>
      <w:r>
        <w:t xml:space="preserve">baisse </w:t>
      </w:r>
      <w:r w:rsidR="00952447">
        <w:t xml:space="preserve">de 70€ </w:t>
      </w:r>
      <w:r>
        <w:t xml:space="preserve">également en passant de 13 230€ à 13 160€. </w:t>
      </w:r>
      <w:bookmarkStart w:id="0" w:name="_GoBack"/>
      <w:bookmarkEnd w:id="0"/>
    </w:p>
    <w:p w:rsidR="00952447" w:rsidRPr="00952447" w:rsidRDefault="00952447">
      <w:pPr>
        <w:spacing w:after="120"/>
        <w:ind w:firstLine="0"/>
        <w:rPr>
          <w:i/>
          <w:iCs/>
        </w:rPr>
      </w:pPr>
      <w:r>
        <w:t xml:space="preserve">NB : </w:t>
      </w:r>
      <w:r>
        <w:rPr>
          <w:i/>
          <w:iCs/>
        </w:rPr>
        <w:t>Les éléments en italique sont attendus par rapport à un travail spécifique effectué en classe par le concepteur.</w:t>
      </w:r>
    </w:p>
    <w:sectPr w:rsidR="00952447" w:rsidRPr="00952447" w:rsidSect="00367458">
      <w:pgSz w:w="11906" w:h="16838"/>
      <w:pgMar w:top="624" w:right="624" w:bottom="68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458"/>
    <w:rsid w:val="00367458"/>
    <w:rsid w:val="00422720"/>
    <w:rsid w:val="00952447"/>
    <w:rsid w:val="00A5024F"/>
    <w:rsid w:val="00B67C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20"/>
    <w:pPr>
      <w:spacing w:after="200"/>
      <w:ind w:firstLine="284"/>
      <w:jc w:val="both"/>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422720"/>
    <w:pPr>
      <w:ind w:firstLine="0"/>
    </w:pPr>
  </w:style>
  <w:style w:type="character" w:customStyle="1" w:styleId="CorpsdetexteCar">
    <w:name w:val="Corps de texte Car"/>
    <w:basedOn w:val="Policepardfaut"/>
    <w:link w:val="Corpsdetexte"/>
    <w:uiPriority w:val="99"/>
    <w:rsid w:val="00422720"/>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54A77CD1.dotm</Template>
  <TotalTime>506</TotalTime>
  <Pages>1</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D-LPIVH</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Tellier</dc:creator>
  <cp:keywords/>
  <dc:description/>
  <cp:lastModifiedBy>Lycée Raymond Naves</cp:lastModifiedBy>
  <cp:revision>10</cp:revision>
  <cp:lastPrinted>2014-01-08T08:08:00Z</cp:lastPrinted>
  <dcterms:created xsi:type="dcterms:W3CDTF">2013-12-09T00:03:00Z</dcterms:created>
  <dcterms:modified xsi:type="dcterms:W3CDTF">2015-07-10T12:56:00Z</dcterms:modified>
</cp:coreProperties>
</file>