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74" w:rsidRDefault="00A655D6" w:rsidP="004D4474">
      <w:pPr>
        <w:tabs>
          <w:tab w:val="left" w:pos="284"/>
        </w:tabs>
        <w:spacing w:line="360" w:lineRule="auto"/>
        <w:ind w:right="113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Français</w:t>
      </w:r>
      <w:r w:rsidR="004D4474">
        <w:rPr>
          <w:rFonts w:ascii="Arial" w:hAnsi="Arial" w:cs="Arial"/>
          <w:sz w:val="20"/>
          <w:szCs w:val="20"/>
        </w:rPr>
        <w:t xml:space="preserve"> et DYSLEXIE –</w:t>
      </w:r>
      <w:r>
        <w:rPr>
          <w:rFonts w:ascii="Arial" w:hAnsi="Arial" w:cs="Arial"/>
          <w:sz w:val="20"/>
          <w:szCs w:val="20"/>
        </w:rPr>
        <w:t xml:space="preserve"> </w:t>
      </w:r>
      <w:r w:rsidR="004D4474">
        <w:rPr>
          <w:rFonts w:ascii="Arial" w:hAnsi="Arial" w:cs="Arial"/>
          <w:sz w:val="20"/>
          <w:szCs w:val="20"/>
        </w:rPr>
        <w:t xml:space="preserve">RESSOURCES ELECTRONIQUES </w:t>
      </w:r>
    </w:p>
    <w:p w:rsidR="004D4474" w:rsidRDefault="004D4474" w:rsidP="004D4474">
      <w:pPr>
        <w:tabs>
          <w:tab w:val="left" w:pos="284"/>
        </w:tabs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D70988" w:rsidRPr="004D4474" w:rsidRDefault="00D70988" w:rsidP="004D4474">
      <w:pPr>
        <w:tabs>
          <w:tab w:val="left" w:pos="284"/>
        </w:tabs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>Les ressources concernant la dyslexie et les questions de didactique liées à ces troubles sont très</w:t>
      </w:r>
      <w:r w:rsidR="004D4474" w:rsidRPr="004D4474">
        <w:rPr>
          <w:rFonts w:ascii="Arial" w:hAnsi="Arial" w:cs="Arial"/>
          <w:sz w:val="20"/>
          <w:szCs w:val="20"/>
        </w:rPr>
        <w:t xml:space="preserve"> </w:t>
      </w:r>
      <w:r w:rsidRPr="004D4474">
        <w:rPr>
          <w:rFonts w:ascii="Arial" w:hAnsi="Arial" w:cs="Arial"/>
          <w:sz w:val="20"/>
          <w:szCs w:val="20"/>
        </w:rPr>
        <w:t xml:space="preserve">nombreuses. </w:t>
      </w:r>
    </w:p>
    <w:p w:rsidR="00724DCB" w:rsidRPr="004D4474" w:rsidRDefault="00724DCB" w:rsidP="004D4474">
      <w:pPr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D70988" w:rsidRPr="004D4474" w:rsidRDefault="00D70988" w:rsidP="004D4474">
      <w:p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>Nous vous proposons</w:t>
      </w:r>
      <w:r w:rsidR="00724DCB" w:rsidRPr="004D4474">
        <w:rPr>
          <w:rFonts w:ascii="Arial" w:hAnsi="Arial" w:cs="Arial"/>
          <w:sz w:val="20"/>
          <w:szCs w:val="20"/>
        </w:rPr>
        <w:t xml:space="preserve"> </w:t>
      </w:r>
      <w:r w:rsidRPr="004D4474">
        <w:rPr>
          <w:rFonts w:ascii="Arial" w:hAnsi="Arial" w:cs="Arial"/>
          <w:sz w:val="20"/>
          <w:szCs w:val="20"/>
        </w:rPr>
        <w:t xml:space="preserve">quelques sites </w:t>
      </w:r>
      <w:r w:rsidR="004D4474">
        <w:rPr>
          <w:rFonts w:ascii="Arial" w:hAnsi="Arial" w:cs="Arial"/>
          <w:sz w:val="20"/>
          <w:szCs w:val="20"/>
        </w:rPr>
        <w:t xml:space="preserve">choisis </w:t>
      </w:r>
      <w:r w:rsidRPr="004D4474">
        <w:rPr>
          <w:rFonts w:ascii="Arial" w:hAnsi="Arial" w:cs="Arial"/>
          <w:sz w:val="20"/>
          <w:szCs w:val="20"/>
        </w:rPr>
        <w:t xml:space="preserve">et </w:t>
      </w:r>
      <w:r w:rsidR="004D4474">
        <w:rPr>
          <w:rFonts w:ascii="Arial" w:hAnsi="Arial" w:cs="Arial"/>
          <w:sz w:val="20"/>
          <w:szCs w:val="20"/>
        </w:rPr>
        <w:t xml:space="preserve">des </w:t>
      </w:r>
      <w:r w:rsidRPr="004D4474">
        <w:rPr>
          <w:rFonts w:ascii="Arial" w:hAnsi="Arial" w:cs="Arial"/>
          <w:sz w:val="20"/>
          <w:szCs w:val="20"/>
        </w:rPr>
        <w:t>outils de diagnostic et de suivi :</w:t>
      </w:r>
    </w:p>
    <w:p w:rsidR="008E6D7B" w:rsidRPr="004D4474" w:rsidRDefault="008E6D7B" w:rsidP="004D4474">
      <w:pPr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8E6D7B" w:rsidRPr="004D4474" w:rsidRDefault="00D70988" w:rsidP="004D4474">
      <w:pPr>
        <w:pStyle w:val="Paragraphedeliste"/>
        <w:numPr>
          <w:ilvl w:val="0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 xml:space="preserve">pour faire le point sur la définition des troubles d’apprentissage selon l’état actuel des recherches </w:t>
      </w:r>
    </w:p>
    <w:p w:rsidR="00724DCB" w:rsidRPr="004D4474" w:rsidRDefault="00D70988" w:rsidP="004D4474">
      <w:pPr>
        <w:pStyle w:val="Paragraphedeliste"/>
        <w:numPr>
          <w:ilvl w:val="1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>avec une vidéo</w:t>
      </w:r>
      <w:r w:rsidR="001E6E80">
        <w:rPr>
          <w:rFonts w:ascii="Arial" w:hAnsi="Arial" w:cs="Arial"/>
          <w:sz w:val="20"/>
          <w:szCs w:val="20"/>
        </w:rPr>
        <w:t xml:space="preserve"> de l’Inserm</w:t>
      </w:r>
      <w:r w:rsidR="00724DCB" w:rsidRPr="004D447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24DCB" w:rsidRPr="004D4474">
          <w:rPr>
            <w:rStyle w:val="Lienhypertexte"/>
            <w:rFonts w:ascii="Arial" w:hAnsi="Arial" w:cs="Arial"/>
            <w:sz w:val="20"/>
            <w:szCs w:val="20"/>
          </w:rPr>
          <w:t>http://idf.inserm.fr/paris7/fr/recherche_pour_tous/la_dyslexie/index.html</w:t>
        </w:r>
      </w:hyperlink>
      <w:r w:rsidR="00724DCB" w:rsidRPr="004D4474">
        <w:rPr>
          <w:rFonts w:ascii="Arial" w:hAnsi="Arial" w:cs="Arial"/>
          <w:sz w:val="20"/>
          <w:szCs w:val="20"/>
        </w:rPr>
        <w:t>.</w:t>
      </w:r>
    </w:p>
    <w:p w:rsidR="00724DCB" w:rsidRPr="004D4474" w:rsidRDefault="00724DCB" w:rsidP="004D4474">
      <w:pPr>
        <w:spacing w:line="360" w:lineRule="auto"/>
        <w:ind w:left="1080"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>Le film « Dyslexie – bilan des données scientifiques » d’une durée de 21 mn est</w:t>
      </w:r>
      <w:r w:rsidR="00A655D6">
        <w:rPr>
          <w:rFonts w:ascii="Arial" w:hAnsi="Arial" w:cs="Arial"/>
          <w:sz w:val="20"/>
          <w:szCs w:val="20"/>
        </w:rPr>
        <w:t xml:space="preserve"> également</w:t>
      </w:r>
      <w:r w:rsidRPr="004D4474">
        <w:rPr>
          <w:rFonts w:ascii="Arial" w:hAnsi="Arial" w:cs="Arial"/>
          <w:sz w:val="20"/>
          <w:szCs w:val="20"/>
        </w:rPr>
        <w:t xml:space="preserve"> proposé chapitré</w:t>
      </w:r>
      <w:r w:rsidR="008E6D7B" w:rsidRPr="004D4474">
        <w:rPr>
          <w:rFonts w:ascii="Arial" w:hAnsi="Arial" w:cs="Arial"/>
          <w:sz w:val="20"/>
          <w:szCs w:val="20"/>
        </w:rPr>
        <w:t> :</w:t>
      </w:r>
    </w:p>
    <w:p w:rsidR="00724DCB" w:rsidRPr="004D4474" w:rsidRDefault="00724DCB" w:rsidP="004D4474">
      <w:pPr>
        <w:spacing w:line="360" w:lineRule="auto"/>
        <w:ind w:left="1080"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 xml:space="preserve">- </w:t>
      </w:r>
      <w:hyperlink r:id="rId8" w:history="1">
        <w:r w:rsidRPr="00724DCB">
          <w:rPr>
            <w:rFonts w:ascii="Arial" w:eastAsia="Times New Roman" w:hAnsi="Arial" w:cs="Arial"/>
            <w:sz w:val="20"/>
            <w:szCs w:val="20"/>
            <w:lang w:eastAsia="fr-FR"/>
          </w:rPr>
          <w:t>Pour en finir avec les idées reçues : paroles de parents et paroles de chercheurs (4 mn)</w:t>
        </w:r>
      </w:hyperlink>
    </w:p>
    <w:p w:rsidR="00724DCB" w:rsidRPr="004D4474" w:rsidRDefault="00724DCB" w:rsidP="004D4474">
      <w:pPr>
        <w:spacing w:line="360" w:lineRule="auto"/>
        <w:ind w:left="372" w:right="1134" w:firstLine="708"/>
        <w:rPr>
          <w:rFonts w:ascii="Arial" w:hAnsi="Arial" w:cs="Arial"/>
          <w:sz w:val="20"/>
          <w:szCs w:val="20"/>
        </w:rPr>
      </w:pPr>
      <w:r w:rsidRPr="004D4474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hyperlink r:id="rId9" w:history="1">
        <w:r w:rsidRPr="00724DCB">
          <w:rPr>
            <w:rFonts w:ascii="Arial" w:eastAsia="Times New Roman" w:hAnsi="Arial" w:cs="Arial"/>
            <w:sz w:val="20"/>
            <w:szCs w:val="20"/>
            <w:lang w:eastAsia="fr-FR"/>
          </w:rPr>
          <w:t>Diagnostiquer : de l'orthophoniste au centre de référence (3 mn)</w:t>
        </w:r>
      </w:hyperlink>
    </w:p>
    <w:p w:rsidR="00724DCB" w:rsidRPr="004D4474" w:rsidRDefault="00724DCB" w:rsidP="004D4474">
      <w:pPr>
        <w:spacing w:line="360" w:lineRule="auto"/>
        <w:ind w:left="372" w:right="1134" w:firstLine="708"/>
        <w:rPr>
          <w:rFonts w:ascii="Arial" w:hAnsi="Arial" w:cs="Arial"/>
          <w:sz w:val="20"/>
          <w:szCs w:val="20"/>
        </w:rPr>
      </w:pPr>
      <w:r w:rsidRPr="004D4474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hyperlink r:id="rId10" w:history="1">
        <w:r w:rsidRPr="00724DCB">
          <w:rPr>
            <w:rFonts w:ascii="Arial" w:eastAsia="Times New Roman" w:hAnsi="Arial" w:cs="Arial"/>
            <w:sz w:val="20"/>
            <w:szCs w:val="20"/>
            <w:lang w:eastAsia="fr-FR"/>
          </w:rPr>
          <w:t>Paroles de chercheurs : les théories de la recherche (4 mn)</w:t>
        </w:r>
      </w:hyperlink>
    </w:p>
    <w:p w:rsidR="00724DCB" w:rsidRPr="004D4474" w:rsidRDefault="00724DCB" w:rsidP="004D4474">
      <w:pPr>
        <w:spacing w:line="360" w:lineRule="auto"/>
        <w:ind w:left="372" w:right="1134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4D4474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hyperlink r:id="rId11" w:history="1">
        <w:r w:rsidRPr="00724DCB">
          <w:rPr>
            <w:rFonts w:ascii="Arial" w:eastAsia="Times New Roman" w:hAnsi="Arial" w:cs="Arial"/>
            <w:sz w:val="20"/>
            <w:szCs w:val="20"/>
            <w:lang w:eastAsia="fr-FR"/>
          </w:rPr>
          <w:t>Recommandations  (8 mn)</w:t>
        </w:r>
      </w:hyperlink>
    </w:p>
    <w:p w:rsidR="008E6D7B" w:rsidRPr="004D4474" w:rsidRDefault="008E6D7B" w:rsidP="004D4474">
      <w:pPr>
        <w:spacing w:line="360" w:lineRule="auto"/>
        <w:ind w:left="372" w:right="1134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6D7B" w:rsidRPr="001E6E80" w:rsidRDefault="008E6D7B" w:rsidP="001E6E80">
      <w:pPr>
        <w:pStyle w:val="Paragraphedeliste"/>
        <w:numPr>
          <w:ilvl w:val="1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>avec un dossier d’information</w:t>
      </w:r>
      <w:r w:rsidR="001E6E80">
        <w:rPr>
          <w:rFonts w:ascii="Arial" w:hAnsi="Arial" w:cs="Arial"/>
          <w:sz w:val="20"/>
          <w:szCs w:val="20"/>
        </w:rPr>
        <w:t xml:space="preserve"> </w:t>
      </w:r>
      <w:r w:rsidRPr="001E6E80">
        <w:rPr>
          <w:rFonts w:ascii="Arial" w:hAnsi="Arial" w:cs="Arial"/>
          <w:sz w:val="20"/>
          <w:szCs w:val="20"/>
        </w:rPr>
        <w:t xml:space="preserve">de l’Inserm </w:t>
      </w:r>
      <w:hyperlink r:id="rId12" w:history="1">
        <w:r w:rsidRPr="001E6E80">
          <w:rPr>
            <w:rStyle w:val="Lienhypertexte"/>
            <w:rFonts w:ascii="Arial" w:hAnsi="Arial" w:cs="Arial"/>
            <w:sz w:val="20"/>
            <w:szCs w:val="20"/>
          </w:rPr>
          <w:t>http://www.inserm.fr/thematiques/neurosciences-sciences-cognitives-neurologie-psychiatrie/dossiers-d-information/troubles-des-apprentissages-dyslexie-dysorthographie-dyscalculie</w:t>
        </w:r>
      </w:hyperlink>
    </w:p>
    <w:p w:rsidR="008E6D7B" w:rsidRPr="004D4474" w:rsidRDefault="008E6D7B" w:rsidP="004D4474">
      <w:pPr>
        <w:pStyle w:val="Paragraphedeliste"/>
        <w:spacing w:line="360" w:lineRule="auto"/>
        <w:ind w:left="1440" w:right="1134"/>
        <w:rPr>
          <w:rFonts w:ascii="Arial" w:hAnsi="Arial" w:cs="Arial"/>
          <w:sz w:val="20"/>
          <w:szCs w:val="20"/>
        </w:rPr>
      </w:pPr>
    </w:p>
    <w:p w:rsidR="00724DCB" w:rsidRPr="004D4474" w:rsidRDefault="008E6D7B" w:rsidP="004D4474">
      <w:p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ab/>
      </w:r>
      <w:r w:rsidRPr="004D4474">
        <w:rPr>
          <w:rFonts w:ascii="Arial" w:hAnsi="Arial" w:cs="Arial"/>
          <w:sz w:val="20"/>
          <w:szCs w:val="20"/>
        </w:rPr>
        <w:tab/>
        <w:t>de l’Observatoire National de la Lecture</w:t>
      </w:r>
    </w:p>
    <w:p w:rsidR="008E6D7B" w:rsidRPr="004D4474" w:rsidRDefault="00842228" w:rsidP="004D4474">
      <w:pPr>
        <w:spacing w:line="360" w:lineRule="auto"/>
        <w:ind w:left="708" w:right="1134" w:firstLine="708"/>
        <w:rPr>
          <w:rFonts w:ascii="Arial" w:hAnsi="Arial" w:cs="Arial"/>
          <w:sz w:val="20"/>
          <w:szCs w:val="20"/>
        </w:rPr>
      </w:pPr>
      <w:hyperlink r:id="rId13" w:history="1">
        <w:r w:rsidR="008E6D7B" w:rsidRPr="004D4474">
          <w:rPr>
            <w:rStyle w:val="Lienhypertexte"/>
            <w:rFonts w:ascii="Arial" w:hAnsi="Arial" w:cs="Arial"/>
            <w:sz w:val="20"/>
            <w:szCs w:val="20"/>
          </w:rPr>
          <w:t>http://onl.inrp.fr/ONL/publications/publi2005/lestroubles/index_html/view</w:t>
        </w:r>
      </w:hyperlink>
    </w:p>
    <w:p w:rsidR="008E6D7B" w:rsidRPr="004D4474" w:rsidRDefault="008E6D7B" w:rsidP="004D4474">
      <w:pPr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8E6D7B" w:rsidRPr="004D4474" w:rsidRDefault="008E6D7B" w:rsidP="004D4474">
      <w:pPr>
        <w:pStyle w:val="Paragraphedeliste"/>
        <w:numPr>
          <w:ilvl w:val="0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 xml:space="preserve">pour faire le point sur les troubles du langage écrit (schéma simplifié)  et les pistes d’adaptation pédagogique </w:t>
      </w:r>
      <w:r w:rsidR="001E6E80">
        <w:rPr>
          <w:rFonts w:ascii="Arial" w:hAnsi="Arial" w:cs="Arial"/>
          <w:sz w:val="20"/>
          <w:szCs w:val="20"/>
        </w:rPr>
        <w:t>(</w:t>
      </w:r>
      <w:r w:rsidRPr="004D4474">
        <w:rPr>
          <w:rFonts w:ascii="Arial" w:hAnsi="Arial" w:cs="Arial"/>
          <w:sz w:val="20"/>
          <w:szCs w:val="20"/>
        </w:rPr>
        <w:t>à destination des enseignants du secondaire</w:t>
      </w:r>
      <w:r w:rsidR="001E6E80">
        <w:rPr>
          <w:rFonts w:ascii="Arial" w:hAnsi="Arial" w:cs="Arial"/>
          <w:sz w:val="20"/>
          <w:szCs w:val="20"/>
        </w:rPr>
        <w:t>)</w:t>
      </w:r>
      <w:r w:rsidRPr="004D4474">
        <w:rPr>
          <w:rFonts w:ascii="Arial" w:hAnsi="Arial" w:cs="Arial"/>
          <w:sz w:val="20"/>
          <w:szCs w:val="20"/>
        </w:rPr>
        <w:t xml:space="preserve"> se</w:t>
      </w:r>
      <w:r w:rsidR="001E6E80">
        <w:rPr>
          <w:rFonts w:ascii="Arial" w:hAnsi="Arial" w:cs="Arial"/>
          <w:sz w:val="20"/>
          <w:szCs w:val="20"/>
        </w:rPr>
        <w:t xml:space="preserve">lon un document d’Anne Gombert, </w:t>
      </w:r>
      <w:r w:rsidRPr="004D4474">
        <w:rPr>
          <w:rFonts w:ascii="Arial" w:hAnsi="Arial" w:cs="Arial"/>
          <w:sz w:val="20"/>
          <w:szCs w:val="20"/>
        </w:rPr>
        <w:t>Aix en Provence</w:t>
      </w:r>
    </w:p>
    <w:p w:rsidR="008E6D7B" w:rsidRPr="004D4474" w:rsidRDefault="008E6D7B" w:rsidP="004D4474">
      <w:pPr>
        <w:pStyle w:val="Paragraphedeliste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4D4474">
          <w:rPr>
            <w:rStyle w:val="Lienhypertexte"/>
            <w:rFonts w:ascii="Arial" w:hAnsi="Arial" w:cs="Arial"/>
            <w:sz w:val="20"/>
            <w:szCs w:val="20"/>
          </w:rPr>
          <w:t>http://www.aix-mrs.iufm.fr/formations/fit/doc/divers/La%20dyslexie.pdf</w:t>
        </w:r>
      </w:hyperlink>
    </w:p>
    <w:p w:rsidR="008E6D7B" w:rsidRPr="004D4474" w:rsidRDefault="008E6D7B" w:rsidP="004D4474">
      <w:pPr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8E6D7B" w:rsidRPr="004D4474" w:rsidRDefault="008D72A0" w:rsidP="004D4474">
      <w:pPr>
        <w:pStyle w:val="Paragraphedeliste"/>
        <w:numPr>
          <w:ilvl w:val="0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>pour disposer d’outils de diagnostic en t</w:t>
      </w:r>
      <w:r w:rsidR="004D4474">
        <w:rPr>
          <w:rFonts w:ascii="Arial" w:hAnsi="Arial" w:cs="Arial"/>
          <w:sz w:val="20"/>
          <w:szCs w:val="20"/>
        </w:rPr>
        <w:t>éléchargeant les ressources de C</w:t>
      </w:r>
      <w:r w:rsidRPr="004D4474">
        <w:rPr>
          <w:rFonts w:ascii="Arial" w:hAnsi="Arial" w:cs="Arial"/>
          <w:sz w:val="20"/>
          <w:szCs w:val="20"/>
        </w:rPr>
        <w:t xml:space="preserve">ognisciences qui vous seront envoyées par </w:t>
      </w:r>
      <w:r w:rsidR="00A40D8C">
        <w:rPr>
          <w:rFonts w:ascii="Arial" w:hAnsi="Arial" w:cs="Arial"/>
          <w:sz w:val="20"/>
          <w:szCs w:val="20"/>
        </w:rPr>
        <w:t>courrier électronique</w:t>
      </w:r>
      <w:r w:rsidRPr="004D4474">
        <w:rPr>
          <w:rFonts w:ascii="Arial" w:hAnsi="Arial" w:cs="Arial"/>
          <w:sz w:val="20"/>
          <w:szCs w:val="20"/>
        </w:rPr>
        <w:t xml:space="preserve"> et notamment le ROC</w:t>
      </w:r>
      <w:r w:rsidR="001E6E80">
        <w:rPr>
          <w:rFonts w:ascii="Arial" w:hAnsi="Arial" w:cs="Arial"/>
          <w:sz w:val="20"/>
          <w:szCs w:val="20"/>
        </w:rPr>
        <w:t xml:space="preserve"> -</w:t>
      </w:r>
      <w:r w:rsidRPr="004D4474">
        <w:rPr>
          <w:rFonts w:ascii="Arial" w:hAnsi="Arial" w:cs="Arial"/>
          <w:sz w:val="20"/>
          <w:szCs w:val="20"/>
        </w:rPr>
        <w:t xml:space="preserve"> Repérage </w:t>
      </w:r>
      <w:r w:rsidR="00A655D6">
        <w:rPr>
          <w:rFonts w:ascii="Arial" w:hAnsi="Arial" w:cs="Arial"/>
          <w:sz w:val="20"/>
          <w:szCs w:val="20"/>
        </w:rPr>
        <w:t>O</w:t>
      </w:r>
      <w:r w:rsidRPr="004D4474">
        <w:rPr>
          <w:rFonts w:ascii="Arial" w:hAnsi="Arial" w:cs="Arial"/>
          <w:sz w:val="20"/>
          <w:szCs w:val="20"/>
        </w:rPr>
        <w:t xml:space="preserve">rthographique Collectif </w:t>
      </w:r>
      <w:r w:rsidR="001E6E80">
        <w:rPr>
          <w:rFonts w:ascii="Arial" w:hAnsi="Arial" w:cs="Arial"/>
          <w:sz w:val="20"/>
          <w:szCs w:val="20"/>
        </w:rPr>
        <w:t xml:space="preserve">- </w:t>
      </w:r>
      <w:r w:rsidRPr="004D4474">
        <w:rPr>
          <w:rFonts w:ascii="Arial" w:hAnsi="Arial" w:cs="Arial"/>
          <w:sz w:val="20"/>
          <w:szCs w:val="20"/>
        </w:rPr>
        <w:t>à l’attention des enseignants d’élèves de Cycle 3 et de 6</w:t>
      </w:r>
      <w:r w:rsidRPr="004D4474">
        <w:rPr>
          <w:rFonts w:ascii="Arial" w:hAnsi="Arial" w:cs="Arial"/>
          <w:sz w:val="20"/>
          <w:szCs w:val="20"/>
          <w:vertAlign w:val="superscript"/>
        </w:rPr>
        <w:t>ème</w:t>
      </w:r>
      <w:r w:rsidRPr="004D4474">
        <w:rPr>
          <w:rFonts w:ascii="Arial" w:hAnsi="Arial" w:cs="Arial"/>
          <w:sz w:val="20"/>
          <w:szCs w:val="20"/>
        </w:rPr>
        <w:t>, 5</w:t>
      </w:r>
      <w:r w:rsidRPr="004D4474">
        <w:rPr>
          <w:rFonts w:ascii="Arial" w:hAnsi="Arial" w:cs="Arial"/>
          <w:sz w:val="20"/>
          <w:szCs w:val="20"/>
          <w:vertAlign w:val="superscript"/>
        </w:rPr>
        <w:t>ème</w:t>
      </w:r>
      <w:r w:rsidRPr="004D4474">
        <w:rPr>
          <w:rFonts w:ascii="Arial" w:hAnsi="Arial" w:cs="Arial"/>
          <w:sz w:val="20"/>
          <w:szCs w:val="20"/>
        </w:rPr>
        <w:t>.</w:t>
      </w:r>
    </w:p>
    <w:p w:rsidR="008D72A0" w:rsidRPr="004D4474" w:rsidRDefault="00842228" w:rsidP="004D4474">
      <w:pPr>
        <w:pStyle w:val="Paragraphedeliste"/>
        <w:spacing w:line="360" w:lineRule="auto"/>
        <w:ind w:right="1134"/>
        <w:rPr>
          <w:rFonts w:ascii="Arial" w:hAnsi="Arial" w:cs="Arial"/>
          <w:sz w:val="20"/>
          <w:szCs w:val="20"/>
        </w:rPr>
      </w:pPr>
      <w:hyperlink r:id="rId15" w:history="1">
        <w:r w:rsidR="008D72A0" w:rsidRPr="004D4474">
          <w:rPr>
            <w:rStyle w:val="Lienhypertexte"/>
            <w:rFonts w:ascii="Arial" w:hAnsi="Arial" w:cs="Arial"/>
            <w:sz w:val="20"/>
            <w:szCs w:val="20"/>
          </w:rPr>
          <w:t>http://www.cognisciences.com/article.php3?id_article=42</w:t>
        </w:r>
      </w:hyperlink>
    </w:p>
    <w:p w:rsidR="008D72A0" w:rsidRPr="004D4474" w:rsidRDefault="008D72A0" w:rsidP="004D4474">
      <w:pPr>
        <w:pStyle w:val="Paragraphedeliste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8D72A0" w:rsidRPr="004D4474" w:rsidRDefault="008D72A0" w:rsidP="004D4474">
      <w:pPr>
        <w:pStyle w:val="Paragraphedeliste"/>
        <w:numPr>
          <w:ilvl w:val="0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lastRenderedPageBreak/>
        <w:t xml:space="preserve">un exemple de livret de suivi de l’enfant dyslexique à adapter (notamment pages 10-11 pour les aménagements proposés) </w:t>
      </w:r>
      <w:hyperlink r:id="rId16" w:history="1">
        <w:r w:rsidRPr="004D4474">
          <w:rPr>
            <w:rStyle w:val="Lienhypertexte"/>
            <w:rFonts w:ascii="Arial" w:hAnsi="Arial" w:cs="Arial"/>
            <w:sz w:val="20"/>
            <w:szCs w:val="20"/>
          </w:rPr>
          <w:t>http://fcpestjulien.online.fr/IMG/pdf/livret_dyslexie_hte_savoie_2008-1.pdf</w:t>
        </w:r>
      </w:hyperlink>
    </w:p>
    <w:p w:rsidR="008D72A0" w:rsidRPr="004D4474" w:rsidRDefault="008D72A0" w:rsidP="004D4474">
      <w:pPr>
        <w:pStyle w:val="Paragraphedeliste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8D72A0" w:rsidRPr="004D4474" w:rsidRDefault="008D72A0" w:rsidP="004D4474">
      <w:pPr>
        <w:pStyle w:val="Paragraphedeliste"/>
        <w:numPr>
          <w:ilvl w:val="0"/>
          <w:numId w:val="2"/>
        </w:numPr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4D4474">
        <w:rPr>
          <w:rFonts w:ascii="Arial" w:hAnsi="Arial" w:cs="Arial"/>
          <w:sz w:val="20"/>
          <w:szCs w:val="20"/>
        </w:rPr>
        <w:t xml:space="preserve">des propositions d’aménagements </w:t>
      </w:r>
      <w:r w:rsidR="004D4474" w:rsidRPr="004D4474">
        <w:rPr>
          <w:rFonts w:ascii="Arial" w:hAnsi="Arial" w:cs="Arial"/>
          <w:sz w:val="20"/>
          <w:szCs w:val="20"/>
        </w:rPr>
        <w:t xml:space="preserve">selon un guide pour les enseignants provenant de l’académie de Dijon </w:t>
      </w:r>
      <w:hyperlink r:id="rId17" w:history="1">
        <w:r w:rsidR="004D4474" w:rsidRPr="004D4474">
          <w:rPr>
            <w:rStyle w:val="Lienhypertexte"/>
            <w:rFonts w:ascii="Arial" w:hAnsi="Arial" w:cs="Arial"/>
            <w:sz w:val="20"/>
            <w:szCs w:val="20"/>
          </w:rPr>
          <w:t>http://sante-securite21.ac-dijon.fr/sites/sante-securite21.ac-dijon.fr/IMG/pdf/Guide_enseignants_VF_22_-09-2009-2.pdf</w:t>
        </w:r>
      </w:hyperlink>
    </w:p>
    <w:p w:rsidR="004D4474" w:rsidRPr="004D4474" w:rsidRDefault="004D4474" w:rsidP="004D4474">
      <w:pPr>
        <w:pStyle w:val="Paragraphedeliste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:rsidR="008D72A0" w:rsidRDefault="008D72A0" w:rsidP="004D4474">
      <w:pPr>
        <w:pStyle w:val="Paragraphedeliste"/>
        <w:spacing w:line="360" w:lineRule="auto"/>
        <w:ind w:right="1134"/>
      </w:pPr>
    </w:p>
    <w:p w:rsidR="00A655D6" w:rsidRDefault="00A40D8C" w:rsidP="004D4474">
      <w:pPr>
        <w:pStyle w:val="Paragraphedeliste"/>
        <w:spacing w:line="360" w:lineRule="auto"/>
        <w:ind w:right="1134"/>
      </w:pPr>
      <w:r>
        <w:t xml:space="preserve">Ressources proposées et vérifiées en avril 2011. </w:t>
      </w:r>
    </w:p>
    <w:p w:rsidR="008E6D7B" w:rsidRDefault="00A40D8C" w:rsidP="004D4474">
      <w:pPr>
        <w:pStyle w:val="Paragraphedeliste"/>
        <w:spacing w:line="360" w:lineRule="auto"/>
        <w:ind w:right="1134"/>
      </w:pPr>
      <w:r>
        <w:t>F</w:t>
      </w:r>
      <w:r w:rsidR="00A655D6">
        <w:t>. P.S  - académie de Toulouse</w:t>
      </w:r>
    </w:p>
    <w:sectPr w:rsidR="008E6D7B" w:rsidSect="002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28" w:rsidRDefault="00842228" w:rsidP="004D4474">
      <w:r>
        <w:separator/>
      </w:r>
    </w:p>
  </w:endnote>
  <w:endnote w:type="continuationSeparator" w:id="0">
    <w:p w:rsidR="00842228" w:rsidRDefault="00842228" w:rsidP="004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28" w:rsidRDefault="00842228" w:rsidP="004D4474">
      <w:r>
        <w:separator/>
      </w:r>
    </w:p>
  </w:footnote>
  <w:footnote w:type="continuationSeparator" w:id="0">
    <w:p w:rsidR="00842228" w:rsidRDefault="00842228" w:rsidP="004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200"/>
    <w:multiLevelType w:val="multilevel"/>
    <w:tmpl w:val="C59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75DA9"/>
    <w:multiLevelType w:val="hybridMultilevel"/>
    <w:tmpl w:val="29005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88"/>
    <w:rsid w:val="00040C6C"/>
    <w:rsid w:val="000B66EF"/>
    <w:rsid w:val="001E6E80"/>
    <w:rsid w:val="002165F7"/>
    <w:rsid w:val="00221ED3"/>
    <w:rsid w:val="004D4474"/>
    <w:rsid w:val="00724DCB"/>
    <w:rsid w:val="00790E45"/>
    <w:rsid w:val="00842228"/>
    <w:rsid w:val="008D72A0"/>
    <w:rsid w:val="008E6D7B"/>
    <w:rsid w:val="00A40D8C"/>
    <w:rsid w:val="00A655D6"/>
    <w:rsid w:val="00CF0F35"/>
    <w:rsid w:val="00D70988"/>
    <w:rsid w:val="00EA46D5"/>
    <w:rsid w:val="00EE383E"/>
    <w:rsid w:val="00FD285D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F963-5FA8-4C1A-939E-8F4C2D8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F7"/>
  </w:style>
  <w:style w:type="paragraph" w:styleId="Titre3">
    <w:name w:val="heading 3"/>
    <w:basedOn w:val="Normal"/>
    <w:link w:val="Titre3Car"/>
    <w:uiPriority w:val="9"/>
    <w:qFormat/>
    <w:rsid w:val="00724D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DC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24D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8E6D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4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4474"/>
  </w:style>
  <w:style w:type="paragraph" w:styleId="Pieddepage">
    <w:name w:val="footer"/>
    <w:basedOn w:val="Normal"/>
    <w:link w:val="PieddepageCar"/>
    <w:uiPriority w:val="99"/>
    <w:semiHidden/>
    <w:unhideWhenUsed/>
    <w:rsid w:val="004D4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23">
          <w:marLeft w:val="113"/>
          <w:marRight w:val="113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f.inserm.fr/paris7/fr/recherche_pour_tous/la_dyslexie/definition.html" TargetMode="External"/><Relationship Id="rId13" Type="http://schemas.openxmlformats.org/officeDocument/2006/relationships/hyperlink" Target="http://onl.inrp.fr/ONL/publications/publi2005/lestroubles/index_html/vie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f.inserm.fr/paris7/fr/recherche_pour_tous/la_dyslexie/index.html" TargetMode="External"/><Relationship Id="rId12" Type="http://schemas.openxmlformats.org/officeDocument/2006/relationships/hyperlink" Target="http://www.inserm.fr/thematiques/neurosciences-sciences-cognitives-neurologie-psychiatrie/dossiers-d-information/troubles-des-apprentissages-dyslexie-dysorthographie-dyscalculie" TargetMode="External"/><Relationship Id="rId17" Type="http://schemas.openxmlformats.org/officeDocument/2006/relationships/hyperlink" Target="http://sante-securite21.ac-dijon.fr/sites/sante-securite21.ac-dijon.fr/IMG/pdf/Guide_enseignants_VF_22_-09-2009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cpestjulien.online.fr/IMG/pdf/livret_dyslexie_hte_savoie_2008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f.inserm.fr/paris7/fr/recherche_pour_tous/la_dyslexie/recommandation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gnisciences.com/article.php3?id_article=42" TargetMode="External"/><Relationship Id="rId10" Type="http://schemas.openxmlformats.org/officeDocument/2006/relationships/hyperlink" Target="http://idf.inserm.fr/paris7/fr/recherche_pour_tous/la_dyslexie/recherch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df.inserm.fr/paris7/fr/recherche_pour_tous/la_dyslexie/diagnostiquer.html" TargetMode="External"/><Relationship Id="rId14" Type="http://schemas.openxmlformats.org/officeDocument/2006/relationships/hyperlink" Target="http://www.aix-mrs.iufm.fr/formations/fit/doc/divers/La%20dyslexi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</dc:creator>
  <cp:keywords/>
  <dc:description/>
  <cp:lastModifiedBy>MARIE SAINT MICHEL</cp:lastModifiedBy>
  <cp:revision>2</cp:revision>
  <dcterms:created xsi:type="dcterms:W3CDTF">2018-01-09T08:59:00Z</dcterms:created>
  <dcterms:modified xsi:type="dcterms:W3CDTF">2018-01-09T08:59:00Z</dcterms:modified>
</cp:coreProperties>
</file>