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1"/>
        <w:tblW w:w="10166" w:type="dxa"/>
        <w:tblInd w:w="-5" w:type="dxa"/>
        <w:tblLook w:val="04A0" w:firstRow="1" w:lastRow="0" w:firstColumn="1" w:lastColumn="0" w:noHBand="0" w:noVBand="1"/>
      </w:tblPr>
      <w:tblGrid>
        <w:gridCol w:w="1450"/>
        <w:gridCol w:w="4558"/>
        <w:gridCol w:w="4158"/>
      </w:tblGrid>
      <w:tr w:rsidR="00AD448A" w:rsidRPr="008879A3" w14:paraId="391B5DB0" w14:textId="77777777" w:rsidTr="00AD448A">
        <w:trPr>
          <w:trHeight w:val="257"/>
        </w:trPr>
        <w:tc>
          <w:tcPr>
            <w:tcW w:w="1450" w:type="dxa"/>
            <w:tcBorders>
              <w:top w:val="nil"/>
              <w:left w:val="nil"/>
              <w:bottom w:val="single" w:sz="4" w:space="0" w:color="auto"/>
            </w:tcBorders>
          </w:tcPr>
          <w:p w14:paraId="0A2533DD" w14:textId="77777777" w:rsidR="008879A3" w:rsidRPr="008879A3" w:rsidRDefault="008879A3" w:rsidP="008879A3">
            <w:pPr>
              <w:jc w:val="center"/>
              <w:rPr>
                <w:rFonts w:ascii="Arial" w:eastAsia="Calibri" w:hAnsi="Arial" w:cs="Arial"/>
                <w:b/>
                <w:bCs/>
                <w:sz w:val="20"/>
                <w:szCs w:val="20"/>
              </w:rPr>
            </w:pPr>
          </w:p>
        </w:tc>
        <w:tc>
          <w:tcPr>
            <w:tcW w:w="4558" w:type="dxa"/>
            <w:shd w:val="clear" w:color="auto" w:fill="D9D9D9"/>
          </w:tcPr>
          <w:p w14:paraId="50435F21" w14:textId="77777777" w:rsidR="008879A3" w:rsidRPr="008879A3" w:rsidRDefault="008879A3" w:rsidP="008879A3">
            <w:pPr>
              <w:jc w:val="center"/>
              <w:rPr>
                <w:rFonts w:ascii="Arial" w:eastAsia="Calibri" w:hAnsi="Arial" w:cs="Arial"/>
                <w:b/>
                <w:bCs/>
                <w:sz w:val="20"/>
                <w:szCs w:val="20"/>
              </w:rPr>
            </w:pPr>
            <w:r w:rsidRPr="008879A3">
              <w:rPr>
                <w:rFonts w:ascii="Arial" w:eastAsia="Calibri" w:hAnsi="Arial" w:cs="Arial"/>
                <w:b/>
                <w:bCs/>
                <w:sz w:val="20"/>
                <w:szCs w:val="20"/>
              </w:rPr>
              <w:t>SELO</w:t>
            </w:r>
          </w:p>
        </w:tc>
        <w:tc>
          <w:tcPr>
            <w:tcW w:w="4158" w:type="dxa"/>
            <w:shd w:val="clear" w:color="auto" w:fill="D9D9D9"/>
          </w:tcPr>
          <w:p w14:paraId="43A55785" w14:textId="77777777" w:rsidR="008879A3" w:rsidRPr="008879A3" w:rsidRDefault="008879A3" w:rsidP="008879A3">
            <w:pPr>
              <w:jc w:val="center"/>
              <w:rPr>
                <w:rFonts w:ascii="Arial" w:eastAsia="Calibri" w:hAnsi="Arial" w:cs="Arial"/>
                <w:b/>
                <w:bCs/>
                <w:sz w:val="20"/>
                <w:szCs w:val="20"/>
              </w:rPr>
            </w:pPr>
            <w:r w:rsidRPr="008879A3">
              <w:rPr>
                <w:rFonts w:ascii="Arial" w:eastAsia="Calibri" w:hAnsi="Arial" w:cs="Arial"/>
                <w:b/>
                <w:bCs/>
                <w:sz w:val="20"/>
                <w:szCs w:val="20"/>
              </w:rPr>
              <w:t>DNL</w:t>
            </w:r>
            <w:r w:rsidR="00702DA5">
              <w:rPr>
                <w:rFonts w:ascii="Arial" w:eastAsia="Calibri" w:hAnsi="Arial" w:cs="Arial"/>
                <w:b/>
                <w:bCs/>
                <w:sz w:val="20"/>
                <w:szCs w:val="20"/>
              </w:rPr>
              <w:t xml:space="preserve"> hors SELO</w:t>
            </w:r>
          </w:p>
        </w:tc>
      </w:tr>
      <w:tr w:rsidR="00A76807" w:rsidRPr="008879A3" w14:paraId="408F0CDE" w14:textId="77777777" w:rsidTr="00AD448A">
        <w:trPr>
          <w:trHeight w:val="257"/>
        </w:trPr>
        <w:tc>
          <w:tcPr>
            <w:tcW w:w="1450" w:type="dxa"/>
            <w:tcBorders>
              <w:bottom w:val="nil"/>
            </w:tcBorders>
            <w:vAlign w:val="center"/>
          </w:tcPr>
          <w:p w14:paraId="69E5F0A4" w14:textId="77777777" w:rsidR="00A76807" w:rsidRPr="008879A3" w:rsidRDefault="00A76807" w:rsidP="00AD448A">
            <w:pPr>
              <w:rPr>
                <w:rFonts w:ascii="Arial" w:eastAsia="Calibri" w:hAnsi="Arial" w:cs="Arial"/>
                <w:b/>
                <w:bCs/>
                <w:sz w:val="20"/>
                <w:szCs w:val="20"/>
              </w:rPr>
            </w:pPr>
          </w:p>
        </w:tc>
        <w:tc>
          <w:tcPr>
            <w:tcW w:w="8716" w:type="dxa"/>
            <w:gridSpan w:val="2"/>
          </w:tcPr>
          <w:p w14:paraId="354DBD43" w14:textId="77777777" w:rsidR="00AD448A" w:rsidRDefault="00AD448A" w:rsidP="00AD448A">
            <w:pPr>
              <w:pStyle w:val="NormalWeb"/>
              <w:spacing w:before="0" w:beforeAutospacing="0"/>
              <w:jc w:val="both"/>
              <w:rPr>
                <w:rFonts w:ascii="Arial" w:hAnsi="Arial" w:cs="Arial"/>
                <w:sz w:val="20"/>
                <w:szCs w:val="20"/>
              </w:rPr>
            </w:pPr>
            <w:r w:rsidRPr="00AD448A">
              <w:rPr>
                <w:rFonts w:ascii="Arial" w:hAnsi="Arial" w:cs="Arial"/>
                <w:sz w:val="20"/>
                <w:szCs w:val="20"/>
              </w:rPr>
              <w:t>Le résultat d'une interrogation orale en langue compte pour 80 % de la note globale de l’évaluation spécifique de contrôle continu.</w:t>
            </w:r>
          </w:p>
          <w:p w14:paraId="02628C95" w14:textId="77777777" w:rsidR="00702DA5" w:rsidRPr="00702DA5" w:rsidRDefault="00702DA5" w:rsidP="00AD448A">
            <w:pPr>
              <w:pStyle w:val="NormalWeb"/>
              <w:spacing w:before="0" w:beforeAutospacing="0"/>
              <w:jc w:val="both"/>
              <w:rPr>
                <w:rFonts w:ascii="Arial" w:hAnsi="Arial" w:cs="Arial"/>
                <w:sz w:val="20"/>
                <w:szCs w:val="20"/>
              </w:rPr>
            </w:pPr>
            <w:r w:rsidRPr="00702DA5">
              <w:rPr>
                <w:rFonts w:ascii="Arial" w:hAnsi="Arial" w:cs="Arial"/>
                <w:color w:val="000000"/>
                <w:sz w:val="20"/>
                <w:szCs w:val="20"/>
              </w:rPr>
              <w:t>L'interrogation orale comporte deux parties de même durée et d'importance égale dans l'attribution de la note.</w:t>
            </w:r>
          </w:p>
          <w:p w14:paraId="19B7F06C" w14:textId="77777777" w:rsidR="00F37E7B" w:rsidRPr="00F37E7B" w:rsidRDefault="00A76807" w:rsidP="00AD448A">
            <w:pPr>
              <w:pStyle w:val="NormalWeb"/>
              <w:spacing w:before="0" w:beforeAutospacing="0"/>
              <w:jc w:val="both"/>
              <w:rPr>
                <w:rFonts w:ascii="Arial" w:hAnsi="Arial" w:cs="Arial"/>
                <w:sz w:val="20"/>
                <w:szCs w:val="20"/>
              </w:rPr>
            </w:pPr>
            <w:r w:rsidRPr="00AD448A">
              <w:rPr>
                <w:rFonts w:ascii="Arial" w:hAnsi="Arial" w:cs="Arial"/>
                <w:sz w:val="20"/>
                <w:szCs w:val="20"/>
              </w:rPr>
              <w:t>L’interrogation orale en langue a lieu à la même période que les autres évaluations communes de la classe de terminale.</w:t>
            </w:r>
          </w:p>
        </w:tc>
      </w:tr>
      <w:tr w:rsidR="008879A3" w:rsidRPr="008879A3" w14:paraId="1AECE3DF" w14:textId="77777777" w:rsidTr="00AD448A">
        <w:trPr>
          <w:trHeight w:val="257"/>
        </w:trPr>
        <w:tc>
          <w:tcPr>
            <w:tcW w:w="1450" w:type="dxa"/>
            <w:tcBorders>
              <w:top w:val="nil"/>
            </w:tcBorders>
            <w:vAlign w:val="center"/>
          </w:tcPr>
          <w:p w14:paraId="4AED82E1" w14:textId="77777777" w:rsidR="008879A3" w:rsidRPr="008879A3" w:rsidRDefault="00AD448A" w:rsidP="008879A3">
            <w:pPr>
              <w:jc w:val="center"/>
              <w:rPr>
                <w:rFonts w:ascii="Arial" w:eastAsia="Calibri" w:hAnsi="Arial" w:cs="Arial"/>
                <w:b/>
                <w:bCs/>
                <w:sz w:val="20"/>
                <w:szCs w:val="20"/>
              </w:rPr>
            </w:pPr>
            <w:r>
              <w:rPr>
                <w:rFonts w:ascii="Arial" w:eastAsia="Calibri" w:hAnsi="Arial" w:cs="Arial"/>
                <w:b/>
                <w:bCs/>
                <w:sz w:val="20"/>
                <w:szCs w:val="20"/>
              </w:rPr>
              <w:t>Organ</w:t>
            </w:r>
            <w:r w:rsidR="008879A3" w:rsidRPr="008879A3">
              <w:rPr>
                <w:rFonts w:ascii="Arial" w:eastAsia="Calibri" w:hAnsi="Arial" w:cs="Arial"/>
                <w:b/>
                <w:bCs/>
                <w:sz w:val="20"/>
                <w:szCs w:val="20"/>
              </w:rPr>
              <w:t xml:space="preserve">isation </w:t>
            </w:r>
          </w:p>
          <w:p w14:paraId="14C2D09A" w14:textId="77777777" w:rsidR="008879A3" w:rsidRPr="008879A3" w:rsidRDefault="008879A3" w:rsidP="008879A3">
            <w:pPr>
              <w:jc w:val="center"/>
              <w:rPr>
                <w:rFonts w:ascii="Arial" w:eastAsia="Calibri" w:hAnsi="Arial" w:cs="Arial"/>
                <w:b/>
                <w:bCs/>
                <w:sz w:val="20"/>
                <w:szCs w:val="20"/>
              </w:rPr>
            </w:pPr>
            <w:r w:rsidRPr="008879A3">
              <w:rPr>
                <w:rFonts w:ascii="Arial" w:eastAsia="Calibri" w:hAnsi="Arial" w:cs="Arial"/>
                <w:b/>
                <w:bCs/>
                <w:sz w:val="20"/>
                <w:szCs w:val="20"/>
              </w:rPr>
              <w:t>Interrogation orale de langue</w:t>
            </w:r>
          </w:p>
          <w:p w14:paraId="10C955C7" w14:textId="77777777" w:rsidR="008879A3" w:rsidRPr="008879A3" w:rsidRDefault="008879A3" w:rsidP="008879A3">
            <w:pPr>
              <w:jc w:val="center"/>
              <w:rPr>
                <w:rFonts w:ascii="Arial" w:eastAsia="Calibri" w:hAnsi="Arial" w:cs="Arial"/>
                <w:b/>
                <w:bCs/>
                <w:sz w:val="20"/>
                <w:szCs w:val="20"/>
              </w:rPr>
            </w:pPr>
            <w:r w:rsidRPr="008879A3">
              <w:rPr>
                <w:rFonts w:ascii="Arial" w:eastAsia="Calibri" w:hAnsi="Arial" w:cs="Arial"/>
                <w:b/>
                <w:bCs/>
                <w:sz w:val="20"/>
                <w:szCs w:val="20"/>
              </w:rPr>
              <w:t>(80%)</w:t>
            </w:r>
          </w:p>
        </w:tc>
        <w:tc>
          <w:tcPr>
            <w:tcW w:w="4558" w:type="dxa"/>
          </w:tcPr>
          <w:p w14:paraId="16EC5EC1" w14:textId="77777777" w:rsidR="008879A3" w:rsidRPr="008879A3" w:rsidRDefault="008879A3" w:rsidP="008879A3">
            <w:pPr>
              <w:numPr>
                <w:ilvl w:val="0"/>
                <w:numId w:val="1"/>
              </w:numPr>
              <w:ind w:left="179" w:hanging="179"/>
              <w:contextualSpacing/>
              <w:jc w:val="both"/>
              <w:rPr>
                <w:rFonts w:ascii="Arial" w:eastAsia="Times New Roman" w:hAnsi="Arial" w:cs="Arial"/>
                <w:bCs/>
                <w:sz w:val="20"/>
                <w:szCs w:val="20"/>
                <w:lang w:eastAsia="fr-FR"/>
              </w:rPr>
            </w:pPr>
            <w:r w:rsidRPr="008879A3">
              <w:rPr>
                <w:rFonts w:ascii="Arial" w:eastAsia="Times New Roman" w:hAnsi="Arial" w:cs="Arial"/>
                <w:bCs/>
                <w:sz w:val="20"/>
                <w:szCs w:val="20"/>
                <w:lang w:eastAsia="fr-FR"/>
              </w:rPr>
              <w:t xml:space="preserve">Durée </w:t>
            </w:r>
            <w:r w:rsidRPr="00AD448A">
              <w:rPr>
                <w:rFonts w:ascii="Arial" w:eastAsia="Times New Roman" w:hAnsi="Arial" w:cs="Arial"/>
                <w:bCs/>
                <w:sz w:val="20"/>
                <w:szCs w:val="20"/>
                <w:lang w:eastAsia="fr-FR"/>
              </w:rPr>
              <w:t>totale de l’épreuve : 40 minutes (</w:t>
            </w:r>
            <w:r w:rsidRPr="008879A3">
              <w:rPr>
                <w:rFonts w:ascii="Arial" w:eastAsia="Times New Roman" w:hAnsi="Arial" w:cs="Arial"/>
                <w:bCs/>
                <w:sz w:val="20"/>
                <w:szCs w:val="20"/>
                <w:lang w:eastAsia="fr-FR"/>
              </w:rPr>
              <w:t>20 minutes</w:t>
            </w:r>
            <w:r w:rsidRPr="00AD448A">
              <w:rPr>
                <w:rFonts w:ascii="Arial" w:eastAsia="Times New Roman" w:hAnsi="Arial" w:cs="Arial"/>
                <w:bCs/>
                <w:sz w:val="20"/>
                <w:szCs w:val="20"/>
                <w:lang w:eastAsia="fr-FR"/>
              </w:rPr>
              <w:t xml:space="preserve"> de préparation + 20 minutes d’oral)</w:t>
            </w:r>
          </w:p>
          <w:p w14:paraId="04FBD314" w14:textId="77777777" w:rsidR="008879A3" w:rsidRPr="00AD448A" w:rsidRDefault="008879A3" w:rsidP="008879A3">
            <w:pPr>
              <w:numPr>
                <w:ilvl w:val="0"/>
                <w:numId w:val="1"/>
              </w:numPr>
              <w:ind w:left="179" w:hanging="179"/>
              <w:contextualSpacing/>
              <w:jc w:val="both"/>
              <w:rPr>
                <w:rFonts w:ascii="Arial" w:eastAsia="Times New Roman" w:hAnsi="Arial" w:cs="Arial"/>
                <w:sz w:val="20"/>
                <w:szCs w:val="20"/>
                <w:lang w:eastAsia="fr-FR"/>
              </w:rPr>
            </w:pPr>
            <w:r w:rsidRPr="008879A3">
              <w:rPr>
                <w:rFonts w:ascii="Arial" w:eastAsia="Times New Roman" w:hAnsi="Arial" w:cs="Arial"/>
                <w:sz w:val="20"/>
                <w:szCs w:val="20"/>
                <w:lang w:eastAsia="fr-FR"/>
              </w:rPr>
              <w:t>Org</w:t>
            </w:r>
            <w:r w:rsidRPr="00AD448A">
              <w:rPr>
                <w:rFonts w:ascii="Arial" w:eastAsia="Times New Roman" w:hAnsi="Arial" w:cs="Arial"/>
                <w:sz w:val="20"/>
                <w:szCs w:val="20"/>
                <w:lang w:eastAsia="fr-FR"/>
              </w:rPr>
              <w:t>anisation académique</w:t>
            </w:r>
          </w:p>
          <w:p w14:paraId="4BDD6C40" w14:textId="77777777" w:rsidR="00A76807" w:rsidRPr="00AD448A" w:rsidRDefault="00A76807" w:rsidP="00AD448A">
            <w:pPr>
              <w:numPr>
                <w:ilvl w:val="0"/>
                <w:numId w:val="1"/>
              </w:numPr>
              <w:ind w:left="179" w:hanging="179"/>
              <w:contextualSpacing/>
              <w:jc w:val="both"/>
              <w:rPr>
                <w:rFonts w:ascii="Arial" w:eastAsia="Times New Roman" w:hAnsi="Arial" w:cs="Arial"/>
                <w:sz w:val="20"/>
                <w:szCs w:val="20"/>
                <w:lang w:eastAsia="fr-FR"/>
              </w:rPr>
            </w:pPr>
            <w:r w:rsidRPr="00AD448A">
              <w:rPr>
                <w:rFonts w:ascii="Arial" w:eastAsia="Times New Roman" w:hAnsi="Arial" w:cs="Arial"/>
                <w:sz w:val="20"/>
                <w:szCs w:val="20"/>
                <w:lang w:eastAsia="fr-FR"/>
              </w:rPr>
              <w:t xml:space="preserve">L’interrogation orale est </w:t>
            </w:r>
            <w:r w:rsidRPr="00AD448A">
              <w:rPr>
                <w:rFonts w:ascii="Arial" w:hAnsi="Arial" w:cs="Arial"/>
                <w:sz w:val="20"/>
                <w:szCs w:val="20"/>
              </w:rPr>
              <w:t>assurée par un professeur de la langue vivante de la section et, sauf impossibilité, par un professeur de la discipline non linguistique ayant fait l'objet d'un enseignement dans cette langue.</w:t>
            </w:r>
            <w:r w:rsidR="00AD448A" w:rsidRPr="00AD448A">
              <w:rPr>
                <w:rFonts w:ascii="Arial" w:hAnsi="Arial" w:cs="Arial"/>
                <w:sz w:val="20"/>
                <w:szCs w:val="20"/>
              </w:rPr>
              <w:t xml:space="preserve"> </w:t>
            </w:r>
            <w:r w:rsidRPr="00AD448A">
              <w:rPr>
                <w:rFonts w:ascii="Arial" w:hAnsi="Arial" w:cs="Arial"/>
                <w:sz w:val="20"/>
                <w:szCs w:val="20"/>
              </w:rPr>
              <w:t>Ces professeurs ne peuvent pas examiner leurs élèves de l'année en cours.</w:t>
            </w:r>
          </w:p>
          <w:p w14:paraId="088E9FC1" w14:textId="77777777" w:rsidR="00A76807" w:rsidRPr="008879A3" w:rsidRDefault="00A76807" w:rsidP="00AD448A">
            <w:pPr>
              <w:numPr>
                <w:ilvl w:val="0"/>
                <w:numId w:val="1"/>
              </w:numPr>
              <w:ind w:left="179" w:hanging="179"/>
              <w:contextualSpacing/>
              <w:jc w:val="both"/>
              <w:rPr>
                <w:rFonts w:ascii="Arial" w:eastAsia="Times New Roman" w:hAnsi="Arial" w:cs="Arial"/>
                <w:sz w:val="20"/>
                <w:szCs w:val="20"/>
                <w:lang w:eastAsia="fr-FR"/>
              </w:rPr>
            </w:pPr>
            <w:r w:rsidRPr="00AD448A">
              <w:rPr>
                <w:rFonts w:ascii="Arial" w:hAnsi="Arial" w:cs="Arial"/>
                <w:sz w:val="20"/>
                <w:szCs w:val="20"/>
              </w:rPr>
              <w:t xml:space="preserve">Le sujet, qui doit être inconnu du candidat, lui est remis par le ou les examinateur(s). </w:t>
            </w:r>
            <w:r w:rsidR="00AD448A" w:rsidRPr="00AD448A">
              <w:rPr>
                <w:rFonts w:ascii="Arial" w:hAnsi="Arial" w:cs="Arial"/>
                <w:sz w:val="20"/>
                <w:szCs w:val="20"/>
              </w:rPr>
              <w:t>L</w:t>
            </w:r>
            <w:r w:rsidRPr="00AD448A">
              <w:rPr>
                <w:rFonts w:ascii="Arial" w:hAnsi="Arial" w:cs="Arial"/>
                <w:sz w:val="20"/>
                <w:szCs w:val="20"/>
              </w:rPr>
              <w:t>a sélecti</w:t>
            </w:r>
            <w:r w:rsidR="00AD448A" w:rsidRPr="00AD448A">
              <w:rPr>
                <w:rFonts w:ascii="Arial" w:hAnsi="Arial" w:cs="Arial"/>
                <w:sz w:val="20"/>
                <w:szCs w:val="20"/>
              </w:rPr>
              <w:t>on des documents est faite en commission académique</w:t>
            </w:r>
          </w:p>
        </w:tc>
        <w:tc>
          <w:tcPr>
            <w:tcW w:w="4158" w:type="dxa"/>
          </w:tcPr>
          <w:p w14:paraId="6293740C" w14:textId="77777777" w:rsidR="008879A3" w:rsidRPr="008879A3" w:rsidRDefault="008879A3" w:rsidP="008879A3">
            <w:pPr>
              <w:numPr>
                <w:ilvl w:val="0"/>
                <w:numId w:val="1"/>
              </w:numPr>
              <w:ind w:left="179" w:hanging="179"/>
              <w:contextualSpacing/>
              <w:jc w:val="both"/>
              <w:rPr>
                <w:rFonts w:ascii="Arial" w:eastAsia="Times New Roman" w:hAnsi="Arial" w:cs="Arial"/>
                <w:bCs/>
                <w:sz w:val="20"/>
                <w:szCs w:val="20"/>
                <w:lang w:eastAsia="fr-FR"/>
              </w:rPr>
            </w:pPr>
            <w:r w:rsidRPr="008879A3">
              <w:rPr>
                <w:rFonts w:ascii="Arial" w:eastAsia="Times New Roman" w:hAnsi="Arial" w:cs="Arial"/>
                <w:bCs/>
                <w:sz w:val="20"/>
                <w:szCs w:val="20"/>
                <w:lang w:eastAsia="fr-FR"/>
              </w:rPr>
              <w:t xml:space="preserve">Durée </w:t>
            </w:r>
            <w:r w:rsidRPr="00AD448A">
              <w:rPr>
                <w:rFonts w:ascii="Arial" w:eastAsia="Times New Roman" w:hAnsi="Arial" w:cs="Arial"/>
                <w:bCs/>
                <w:sz w:val="20"/>
                <w:szCs w:val="20"/>
                <w:lang w:eastAsia="fr-FR"/>
              </w:rPr>
              <w:t xml:space="preserve">totale </w:t>
            </w:r>
            <w:r w:rsidRPr="008879A3">
              <w:rPr>
                <w:rFonts w:ascii="Arial" w:eastAsia="Times New Roman" w:hAnsi="Arial" w:cs="Arial"/>
                <w:bCs/>
                <w:sz w:val="20"/>
                <w:szCs w:val="20"/>
                <w:lang w:eastAsia="fr-FR"/>
              </w:rPr>
              <w:t xml:space="preserve">de l'épreuve : </w:t>
            </w:r>
            <w:r w:rsidRPr="00AD448A">
              <w:rPr>
                <w:rFonts w:ascii="Arial" w:eastAsia="Times New Roman" w:hAnsi="Arial" w:cs="Arial"/>
                <w:bCs/>
                <w:sz w:val="20"/>
                <w:szCs w:val="20"/>
                <w:lang w:eastAsia="fr-FR"/>
              </w:rPr>
              <w:t>20 minutes (</w:t>
            </w:r>
            <w:r w:rsidRPr="008879A3">
              <w:rPr>
                <w:rFonts w:ascii="Arial" w:eastAsia="Times New Roman" w:hAnsi="Arial" w:cs="Arial"/>
                <w:bCs/>
                <w:sz w:val="20"/>
                <w:szCs w:val="20"/>
                <w:lang w:eastAsia="fr-FR"/>
              </w:rPr>
              <w:t>10 minutes</w:t>
            </w:r>
            <w:r w:rsidRPr="00AD448A">
              <w:rPr>
                <w:rFonts w:ascii="Arial" w:eastAsia="Times New Roman" w:hAnsi="Arial" w:cs="Arial"/>
                <w:bCs/>
                <w:sz w:val="20"/>
                <w:szCs w:val="20"/>
                <w:lang w:eastAsia="fr-FR"/>
              </w:rPr>
              <w:t xml:space="preserve"> de préparation + 10 minutes d’oral)</w:t>
            </w:r>
          </w:p>
          <w:p w14:paraId="4DD7CE65" w14:textId="77777777" w:rsidR="008879A3" w:rsidRPr="00AD448A" w:rsidRDefault="008879A3" w:rsidP="008879A3">
            <w:pPr>
              <w:numPr>
                <w:ilvl w:val="0"/>
                <w:numId w:val="1"/>
              </w:numPr>
              <w:ind w:left="137" w:hanging="158"/>
              <w:contextualSpacing/>
              <w:jc w:val="both"/>
              <w:rPr>
                <w:rFonts w:ascii="Arial" w:eastAsia="Calibri" w:hAnsi="Arial" w:cs="Arial"/>
                <w:sz w:val="20"/>
                <w:szCs w:val="20"/>
              </w:rPr>
            </w:pPr>
            <w:r w:rsidRPr="00AD448A">
              <w:rPr>
                <w:rFonts w:ascii="Arial" w:eastAsia="Calibri" w:hAnsi="Arial" w:cs="Arial"/>
                <w:sz w:val="20"/>
                <w:szCs w:val="20"/>
              </w:rPr>
              <w:t>Organisation locale</w:t>
            </w:r>
          </w:p>
          <w:p w14:paraId="6B15D0F4" w14:textId="77777777" w:rsidR="00AD448A" w:rsidRPr="008879A3" w:rsidRDefault="00AD448A" w:rsidP="008879A3">
            <w:pPr>
              <w:numPr>
                <w:ilvl w:val="0"/>
                <w:numId w:val="1"/>
              </w:numPr>
              <w:ind w:left="137" w:hanging="158"/>
              <w:contextualSpacing/>
              <w:jc w:val="both"/>
              <w:rPr>
                <w:rFonts w:ascii="Arial" w:eastAsia="Calibri" w:hAnsi="Arial" w:cs="Arial"/>
                <w:sz w:val="20"/>
                <w:szCs w:val="20"/>
              </w:rPr>
            </w:pPr>
            <w:r w:rsidRPr="00AD448A">
              <w:rPr>
                <w:rFonts w:ascii="Arial" w:eastAsia="Calibri" w:hAnsi="Arial" w:cs="Arial"/>
                <w:sz w:val="20"/>
                <w:szCs w:val="20"/>
              </w:rPr>
              <w:t xml:space="preserve">L’interrogation orale est assurée par </w:t>
            </w:r>
            <w:r w:rsidRPr="00AD448A">
              <w:rPr>
                <w:rFonts w:ascii="Arial" w:hAnsi="Arial" w:cs="Arial"/>
                <w:sz w:val="20"/>
                <w:szCs w:val="20"/>
              </w:rPr>
              <w:t>un professeur de la discipline non linguistique ayant fait l'objet d'un enseignement dans cette langue et, sauf impossibilité, un professeur de la langue vivante concernée. Dans la mesure du possible, ces professeurs ne peuvent pas examiner leurs élèves de l'année en cours.</w:t>
            </w:r>
          </w:p>
          <w:p w14:paraId="3EFE1FCB" w14:textId="77777777" w:rsidR="008879A3" w:rsidRPr="00AD448A" w:rsidRDefault="008879A3" w:rsidP="008879A3">
            <w:pPr>
              <w:numPr>
                <w:ilvl w:val="0"/>
                <w:numId w:val="1"/>
              </w:numPr>
              <w:ind w:left="137" w:hanging="158"/>
              <w:contextualSpacing/>
              <w:jc w:val="both"/>
              <w:rPr>
                <w:rFonts w:ascii="Arial" w:eastAsia="Calibri" w:hAnsi="Arial" w:cs="Arial"/>
                <w:sz w:val="20"/>
                <w:szCs w:val="20"/>
              </w:rPr>
            </w:pPr>
            <w:r w:rsidRPr="008879A3">
              <w:rPr>
                <w:rFonts w:ascii="Arial" w:eastAsia="Times New Roman" w:hAnsi="Arial" w:cs="Arial"/>
                <w:sz w:val="20"/>
                <w:szCs w:val="20"/>
                <w:lang w:eastAsia="fr-FR"/>
              </w:rPr>
              <w:t>Les ressources utilisées sont produites par le candidat et s'ancrent dans l'enseignement reçu en DNL au cours de l'année de terminale.</w:t>
            </w:r>
            <w:r w:rsidR="00A76807" w:rsidRPr="00AD448A">
              <w:rPr>
                <w:rFonts w:ascii="Arial" w:eastAsia="Times New Roman" w:hAnsi="Arial" w:cs="Arial"/>
                <w:sz w:val="20"/>
                <w:szCs w:val="20"/>
                <w:lang w:eastAsia="fr-FR"/>
              </w:rPr>
              <w:t xml:space="preserve"> Le candidat doit donc présenter une liste des thèmes et des documents étudiés en classe de Terminale, ainsi que les documents.</w:t>
            </w:r>
          </w:p>
          <w:p w14:paraId="36169207" w14:textId="77777777" w:rsidR="00A76807" w:rsidRPr="008879A3" w:rsidRDefault="00A76807" w:rsidP="00AD448A">
            <w:pPr>
              <w:ind w:left="137"/>
              <w:contextualSpacing/>
              <w:jc w:val="both"/>
              <w:rPr>
                <w:rFonts w:ascii="Arial" w:eastAsia="Calibri" w:hAnsi="Arial" w:cs="Arial"/>
                <w:sz w:val="20"/>
                <w:szCs w:val="20"/>
              </w:rPr>
            </w:pPr>
          </w:p>
        </w:tc>
      </w:tr>
      <w:tr w:rsidR="008C6A58" w:rsidRPr="008879A3" w14:paraId="7F0D6E46" w14:textId="77777777" w:rsidTr="00F1061E">
        <w:trPr>
          <w:trHeight w:val="257"/>
        </w:trPr>
        <w:tc>
          <w:tcPr>
            <w:tcW w:w="1450" w:type="dxa"/>
            <w:vMerge w:val="restart"/>
            <w:shd w:val="clear" w:color="auto" w:fill="F2F2F2"/>
            <w:vAlign w:val="center"/>
          </w:tcPr>
          <w:p w14:paraId="0CEEA6E0" w14:textId="77777777" w:rsidR="008C6A58" w:rsidRPr="008879A3" w:rsidRDefault="008C6A58" w:rsidP="008879A3">
            <w:pPr>
              <w:jc w:val="center"/>
              <w:rPr>
                <w:rFonts w:ascii="Arial" w:eastAsia="Calibri" w:hAnsi="Arial" w:cs="Arial"/>
                <w:i/>
                <w:iCs/>
                <w:sz w:val="20"/>
                <w:szCs w:val="20"/>
              </w:rPr>
            </w:pPr>
            <w:r w:rsidRPr="008879A3">
              <w:rPr>
                <w:rFonts w:ascii="Arial" w:eastAsia="Calibri" w:hAnsi="Arial" w:cs="Arial"/>
                <w:i/>
                <w:iCs/>
                <w:sz w:val="20"/>
                <w:szCs w:val="20"/>
              </w:rPr>
              <w:t>Première partie</w:t>
            </w:r>
          </w:p>
          <w:p w14:paraId="3A849014" w14:textId="77777777" w:rsidR="008C6A58" w:rsidRPr="008879A3" w:rsidRDefault="008C6A58" w:rsidP="008879A3">
            <w:pPr>
              <w:jc w:val="center"/>
              <w:rPr>
                <w:rFonts w:ascii="Arial" w:eastAsia="Calibri" w:hAnsi="Arial" w:cs="Arial"/>
                <w:i/>
                <w:iCs/>
                <w:sz w:val="20"/>
                <w:szCs w:val="20"/>
              </w:rPr>
            </w:pPr>
          </w:p>
          <w:p w14:paraId="0A982BA8" w14:textId="77777777" w:rsidR="008C6A58" w:rsidRPr="008879A3" w:rsidRDefault="008C6A58" w:rsidP="008879A3">
            <w:pPr>
              <w:jc w:val="center"/>
              <w:rPr>
                <w:rFonts w:ascii="Arial" w:eastAsia="Calibri" w:hAnsi="Arial" w:cs="Arial"/>
                <w:i/>
                <w:iCs/>
                <w:sz w:val="20"/>
                <w:szCs w:val="20"/>
              </w:rPr>
            </w:pPr>
          </w:p>
          <w:p w14:paraId="0ACF7E16" w14:textId="77777777" w:rsidR="008C6A58" w:rsidRPr="008879A3" w:rsidRDefault="008C6A58" w:rsidP="008879A3">
            <w:pPr>
              <w:jc w:val="center"/>
              <w:rPr>
                <w:rFonts w:ascii="Arial" w:eastAsia="Calibri" w:hAnsi="Arial" w:cs="Arial"/>
                <w:b/>
                <w:bCs/>
                <w:i/>
                <w:iCs/>
                <w:sz w:val="20"/>
                <w:szCs w:val="20"/>
              </w:rPr>
            </w:pPr>
            <w:r w:rsidRPr="008879A3">
              <w:rPr>
                <w:rFonts w:ascii="Arial" w:eastAsia="Calibri" w:hAnsi="Arial" w:cs="Arial"/>
                <w:b/>
                <w:bCs/>
                <w:i/>
                <w:iCs/>
                <w:sz w:val="20"/>
                <w:szCs w:val="20"/>
              </w:rPr>
              <w:t>Interrogation sur un sujet étudié en DNL</w:t>
            </w:r>
          </w:p>
          <w:p w14:paraId="5524D25B" w14:textId="77777777" w:rsidR="008C6A58" w:rsidRPr="008879A3" w:rsidRDefault="008C6A58" w:rsidP="008879A3">
            <w:pPr>
              <w:jc w:val="center"/>
              <w:rPr>
                <w:rFonts w:ascii="Arial" w:eastAsia="Calibri" w:hAnsi="Arial" w:cs="Arial"/>
                <w:i/>
                <w:iCs/>
                <w:sz w:val="20"/>
                <w:szCs w:val="20"/>
              </w:rPr>
            </w:pPr>
          </w:p>
        </w:tc>
        <w:tc>
          <w:tcPr>
            <w:tcW w:w="8716" w:type="dxa"/>
            <w:gridSpan w:val="2"/>
            <w:shd w:val="clear" w:color="auto" w:fill="F2F2F2"/>
          </w:tcPr>
          <w:p w14:paraId="00A6C807" w14:textId="77777777" w:rsidR="008C6A58" w:rsidRPr="008C6A58" w:rsidRDefault="008C6A58" w:rsidP="008C6A58">
            <w:pPr>
              <w:pStyle w:val="NormalWeb"/>
              <w:spacing w:before="0" w:beforeAutospacing="0"/>
              <w:jc w:val="both"/>
              <w:rPr>
                <w:rFonts w:ascii="Arial" w:hAnsi="Arial" w:cs="Arial"/>
                <w:sz w:val="20"/>
                <w:szCs w:val="20"/>
              </w:rPr>
            </w:pPr>
            <w:r w:rsidRPr="008C6A58">
              <w:rPr>
                <w:rFonts w:ascii="Arial" w:hAnsi="Arial" w:cs="Arial"/>
                <w:sz w:val="20"/>
                <w:szCs w:val="20"/>
              </w:rPr>
              <w:t xml:space="preserve">La première partie, conduite dans la langue de la section, prend appui sur un ou deux document(s). Dans le cas de textes, il peut s'agir d'un extrait soit d'œuvre littéraire (nouvelle, roman, pièce de théâtre, poème, essai, etc.), soit de presse écrite (éditorial, analyse d'événements ou de faits de société, etc.), soit de documentation professionnelle d'entreprises et/ou d'autres organisations. Le ou les textes choisis, rédigés dans la langue de la section, ne doivent pas excéder une quinzaine de lignes au total. Des documents statistiques, iconographiques, sonores ou audiovisuels, peuvent également servir de support </w:t>
            </w:r>
          </w:p>
          <w:p w14:paraId="1954554A" w14:textId="77777777" w:rsidR="008C6A58" w:rsidRPr="008C6A58" w:rsidRDefault="008C6A58" w:rsidP="008C6A58">
            <w:pPr>
              <w:jc w:val="both"/>
              <w:rPr>
                <w:rFonts w:ascii="Arial" w:eastAsia="Times New Roman" w:hAnsi="Arial" w:cs="Arial"/>
                <w:sz w:val="20"/>
                <w:szCs w:val="20"/>
                <w:lang w:eastAsia="fr-FR"/>
              </w:rPr>
            </w:pPr>
            <w:r w:rsidRPr="008879A3">
              <w:rPr>
                <w:rFonts w:ascii="Arial" w:eastAsia="Times New Roman" w:hAnsi="Arial" w:cs="Arial"/>
                <w:sz w:val="20"/>
                <w:szCs w:val="20"/>
                <w:lang w:eastAsia="fr-FR"/>
              </w:rPr>
              <w:t xml:space="preserve">Objectifs : </w:t>
            </w:r>
            <w:r w:rsidRPr="008C6A58">
              <w:rPr>
                <w:rFonts w:ascii="Arial" w:eastAsia="Times New Roman" w:hAnsi="Arial" w:cs="Arial"/>
                <w:sz w:val="20"/>
                <w:szCs w:val="20"/>
                <w:lang w:eastAsia="fr-FR"/>
              </w:rPr>
              <w:t>r</w:t>
            </w:r>
            <w:r w:rsidRPr="008879A3">
              <w:rPr>
                <w:rFonts w:ascii="Arial" w:eastAsia="Times New Roman" w:hAnsi="Arial" w:cs="Arial"/>
                <w:sz w:val="20"/>
                <w:szCs w:val="20"/>
                <w:lang w:eastAsia="fr-FR"/>
              </w:rPr>
              <w:t>endre compte du ou des document(s) de manière précise et nuancée, en dégager les idées principales et les enjeux.</w:t>
            </w:r>
          </w:p>
          <w:p w14:paraId="5358B9D2" w14:textId="77777777" w:rsidR="008C6A58" w:rsidRPr="008C6A58" w:rsidRDefault="008C6A58" w:rsidP="008C6A58">
            <w:pPr>
              <w:jc w:val="both"/>
              <w:rPr>
                <w:rFonts w:ascii="Arial" w:eastAsia="Times New Roman" w:hAnsi="Arial" w:cs="Arial"/>
                <w:sz w:val="20"/>
                <w:szCs w:val="20"/>
                <w:lang w:eastAsia="fr-FR"/>
              </w:rPr>
            </w:pPr>
          </w:p>
          <w:p w14:paraId="0DDD8CA4" w14:textId="77777777" w:rsidR="008C6A58" w:rsidRPr="008879A3" w:rsidRDefault="008C6A58" w:rsidP="008C6A58">
            <w:pPr>
              <w:jc w:val="both"/>
              <w:rPr>
                <w:rFonts w:ascii="Arial" w:eastAsia="Times New Roman" w:hAnsi="Arial" w:cs="Arial"/>
                <w:sz w:val="20"/>
                <w:szCs w:val="20"/>
                <w:lang w:eastAsia="fr-FR"/>
              </w:rPr>
            </w:pPr>
            <w:r w:rsidRPr="008879A3">
              <w:rPr>
                <w:rFonts w:ascii="Arial" w:eastAsia="Times New Roman" w:hAnsi="Arial" w:cs="Arial"/>
                <w:sz w:val="20"/>
                <w:szCs w:val="20"/>
                <w:lang w:eastAsia="fr-FR"/>
              </w:rPr>
              <w:t>Critères d’évaluation :</w:t>
            </w:r>
          </w:p>
          <w:p w14:paraId="07691532" w14:textId="77777777" w:rsidR="008C6A58" w:rsidRPr="008879A3" w:rsidRDefault="008C6A58" w:rsidP="008C6A58">
            <w:pPr>
              <w:jc w:val="both"/>
              <w:rPr>
                <w:rFonts w:ascii="Arial" w:eastAsia="Times New Roman" w:hAnsi="Arial" w:cs="Arial"/>
                <w:sz w:val="20"/>
                <w:szCs w:val="20"/>
                <w:lang w:eastAsia="fr-FR"/>
              </w:rPr>
            </w:pPr>
            <w:r w:rsidRPr="008879A3">
              <w:rPr>
                <w:rFonts w:ascii="Arial" w:eastAsia="Times New Roman" w:hAnsi="Arial" w:cs="Arial"/>
                <w:sz w:val="20"/>
                <w:szCs w:val="20"/>
                <w:lang w:eastAsia="fr-FR"/>
              </w:rPr>
              <w:t>- la clarté de l'exposé et l'intelligibilité du contenu exprimé par l'élève ;</w:t>
            </w:r>
          </w:p>
          <w:p w14:paraId="655ED9AE" w14:textId="77777777" w:rsidR="008C6A58" w:rsidRPr="008879A3" w:rsidRDefault="008C6A58" w:rsidP="008C6A58">
            <w:pPr>
              <w:jc w:val="both"/>
              <w:rPr>
                <w:rFonts w:ascii="Arial" w:eastAsia="Times New Roman" w:hAnsi="Arial" w:cs="Arial"/>
                <w:sz w:val="20"/>
                <w:szCs w:val="20"/>
                <w:lang w:eastAsia="fr-FR"/>
              </w:rPr>
            </w:pPr>
            <w:r w:rsidRPr="008879A3">
              <w:rPr>
                <w:rFonts w:ascii="Arial" w:eastAsia="Times New Roman" w:hAnsi="Arial" w:cs="Arial"/>
                <w:sz w:val="20"/>
                <w:szCs w:val="20"/>
                <w:lang w:eastAsia="fr-FR"/>
              </w:rPr>
              <w:t>- l'aptitude à analyser et à argumenter ;</w:t>
            </w:r>
          </w:p>
          <w:p w14:paraId="02D1E319" w14:textId="77777777" w:rsidR="008C6A58" w:rsidRPr="008879A3" w:rsidRDefault="008C6A58" w:rsidP="008C6A58">
            <w:pPr>
              <w:jc w:val="both"/>
              <w:rPr>
                <w:rFonts w:ascii="Arial" w:eastAsia="Times New Roman" w:hAnsi="Arial" w:cs="Arial"/>
                <w:sz w:val="20"/>
                <w:szCs w:val="20"/>
                <w:lang w:eastAsia="fr-FR"/>
              </w:rPr>
            </w:pPr>
            <w:r w:rsidRPr="008879A3">
              <w:rPr>
                <w:rFonts w:ascii="Arial" w:eastAsia="Times New Roman" w:hAnsi="Arial" w:cs="Arial"/>
                <w:sz w:val="20"/>
                <w:szCs w:val="20"/>
                <w:lang w:eastAsia="fr-FR"/>
              </w:rPr>
              <w:t>- la qualité de l'information et la culture du candidat, dans le domaine considéré ;</w:t>
            </w:r>
          </w:p>
          <w:p w14:paraId="4901E55D" w14:textId="77777777" w:rsidR="008C6A58" w:rsidRPr="008879A3" w:rsidRDefault="008C6A58" w:rsidP="008C6A58">
            <w:pPr>
              <w:jc w:val="both"/>
              <w:rPr>
                <w:rFonts w:ascii="Arial" w:eastAsia="Times New Roman" w:hAnsi="Arial" w:cs="Arial"/>
                <w:sz w:val="20"/>
                <w:szCs w:val="20"/>
                <w:lang w:eastAsia="fr-FR"/>
              </w:rPr>
            </w:pPr>
            <w:r w:rsidRPr="008879A3">
              <w:rPr>
                <w:rFonts w:ascii="Arial" w:eastAsia="Times New Roman" w:hAnsi="Arial" w:cs="Arial"/>
                <w:sz w:val="20"/>
                <w:szCs w:val="20"/>
                <w:lang w:eastAsia="fr-FR"/>
              </w:rPr>
              <w:t>- la richesse et la précision de l'expression et la correction grammaticale de la langue parlée.</w:t>
            </w:r>
          </w:p>
          <w:p w14:paraId="68C8EBDD" w14:textId="77777777" w:rsidR="008C6A58" w:rsidRPr="008C6A58" w:rsidRDefault="008C6A58" w:rsidP="008C6A58">
            <w:pPr>
              <w:ind w:left="179"/>
              <w:contextualSpacing/>
              <w:jc w:val="both"/>
              <w:rPr>
                <w:rFonts w:ascii="Arial" w:eastAsia="Times New Roman" w:hAnsi="Arial" w:cs="Arial"/>
                <w:sz w:val="20"/>
                <w:szCs w:val="20"/>
                <w:lang w:eastAsia="fr-FR"/>
              </w:rPr>
            </w:pPr>
          </w:p>
        </w:tc>
      </w:tr>
      <w:tr w:rsidR="008C6A58" w:rsidRPr="008879A3" w14:paraId="27299B88" w14:textId="77777777" w:rsidTr="00A76807">
        <w:trPr>
          <w:trHeight w:val="257"/>
        </w:trPr>
        <w:tc>
          <w:tcPr>
            <w:tcW w:w="1450" w:type="dxa"/>
            <w:vMerge/>
            <w:shd w:val="clear" w:color="auto" w:fill="F2F2F2"/>
            <w:vAlign w:val="center"/>
          </w:tcPr>
          <w:p w14:paraId="414C7056" w14:textId="77777777" w:rsidR="008C6A58" w:rsidRPr="008879A3" w:rsidRDefault="008C6A58" w:rsidP="008879A3">
            <w:pPr>
              <w:jc w:val="center"/>
              <w:rPr>
                <w:rFonts w:ascii="Arial" w:eastAsia="Calibri" w:hAnsi="Arial" w:cs="Arial"/>
                <w:b/>
                <w:bCs/>
                <w:sz w:val="20"/>
                <w:szCs w:val="20"/>
              </w:rPr>
            </w:pPr>
          </w:p>
        </w:tc>
        <w:tc>
          <w:tcPr>
            <w:tcW w:w="4558" w:type="dxa"/>
            <w:shd w:val="clear" w:color="auto" w:fill="F2F2F2"/>
          </w:tcPr>
          <w:p w14:paraId="2C7E654A" w14:textId="77777777" w:rsidR="008C6A58" w:rsidRPr="008879A3" w:rsidRDefault="008C6A58" w:rsidP="008C6A58">
            <w:pPr>
              <w:numPr>
                <w:ilvl w:val="0"/>
                <w:numId w:val="2"/>
              </w:numPr>
              <w:ind w:left="179" w:hanging="179"/>
              <w:contextualSpacing/>
              <w:jc w:val="both"/>
              <w:rPr>
                <w:rFonts w:ascii="Arial" w:eastAsia="Times New Roman" w:hAnsi="Arial" w:cs="Arial"/>
                <w:sz w:val="20"/>
                <w:szCs w:val="20"/>
                <w:lang w:eastAsia="fr-FR"/>
              </w:rPr>
            </w:pPr>
            <w:r w:rsidRPr="008C6A58">
              <w:rPr>
                <w:rFonts w:ascii="Arial" w:eastAsia="Times New Roman" w:hAnsi="Arial" w:cs="Arial"/>
                <w:sz w:val="20"/>
                <w:szCs w:val="20"/>
                <w:lang w:eastAsia="fr-FR"/>
              </w:rPr>
              <w:t xml:space="preserve">Durée : </w:t>
            </w:r>
            <w:r w:rsidRPr="008879A3">
              <w:rPr>
                <w:rFonts w:ascii="Arial" w:eastAsia="Times New Roman" w:hAnsi="Arial" w:cs="Arial"/>
                <w:sz w:val="20"/>
                <w:szCs w:val="20"/>
                <w:lang w:eastAsia="fr-FR"/>
              </w:rPr>
              <w:t>10 minutes ;</w:t>
            </w:r>
          </w:p>
          <w:p w14:paraId="08009DC1" w14:textId="77777777" w:rsidR="008C6A58" w:rsidRPr="008879A3" w:rsidRDefault="008C6A58" w:rsidP="008C6A58">
            <w:pPr>
              <w:jc w:val="both"/>
              <w:rPr>
                <w:rFonts w:ascii="Arial" w:eastAsia="Times New Roman" w:hAnsi="Arial" w:cs="Arial"/>
                <w:sz w:val="20"/>
                <w:szCs w:val="20"/>
                <w:lang w:eastAsia="fr-FR"/>
              </w:rPr>
            </w:pPr>
          </w:p>
          <w:p w14:paraId="1AB0AEBC" w14:textId="77777777" w:rsidR="008C6A58" w:rsidRPr="008879A3" w:rsidRDefault="008C6A58" w:rsidP="008C6A58">
            <w:pPr>
              <w:jc w:val="both"/>
              <w:rPr>
                <w:rFonts w:ascii="Arial" w:eastAsia="Times New Roman" w:hAnsi="Arial" w:cs="Arial"/>
                <w:sz w:val="20"/>
                <w:szCs w:val="20"/>
                <w:lang w:eastAsia="fr-FR"/>
              </w:rPr>
            </w:pPr>
          </w:p>
          <w:p w14:paraId="072C2FED" w14:textId="77777777" w:rsidR="008C6A58" w:rsidRPr="008879A3" w:rsidRDefault="008C6A58" w:rsidP="008C6A58">
            <w:pPr>
              <w:jc w:val="both"/>
              <w:rPr>
                <w:rFonts w:ascii="Arial" w:eastAsia="Times New Roman" w:hAnsi="Arial" w:cs="Arial"/>
                <w:sz w:val="20"/>
                <w:szCs w:val="20"/>
                <w:lang w:eastAsia="fr-FR"/>
              </w:rPr>
            </w:pPr>
          </w:p>
        </w:tc>
        <w:tc>
          <w:tcPr>
            <w:tcW w:w="4158" w:type="dxa"/>
            <w:shd w:val="clear" w:color="auto" w:fill="F2F2F2"/>
          </w:tcPr>
          <w:p w14:paraId="45375178" w14:textId="77777777" w:rsidR="008C6A58" w:rsidRPr="008879A3" w:rsidRDefault="008C6A58" w:rsidP="008C6A58">
            <w:pPr>
              <w:numPr>
                <w:ilvl w:val="0"/>
                <w:numId w:val="1"/>
              </w:numPr>
              <w:ind w:left="179" w:hanging="179"/>
              <w:contextualSpacing/>
              <w:jc w:val="both"/>
              <w:rPr>
                <w:rFonts w:ascii="Arial" w:eastAsia="Times New Roman" w:hAnsi="Arial" w:cs="Arial"/>
                <w:sz w:val="20"/>
                <w:szCs w:val="20"/>
                <w:lang w:eastAsia="fr-FR"/>
              </w:rPr>
            </w:pPr>
            <w:r w:rsidRPr="008C6A58">
              <w:rPr>
                <w:rFonts w:ascii="Arial" w:eastAsia="Times New Roman" w:hAnsi="Arial" w:cs="Arial"/>
                <w:sz w:val="20"/>
                <w:szCs w:val="20"/>
                <w:lang w:eastAsia="fr-FR"/>
              </w:rPr>
              <w:t xml:space="preserve">Durée : </w:t>
            </w:r>
            <w:r w:rsidRPr="008879A3">
              <w:rPr>
                <w:rFonts w:ascii="Arial" w:eastAsia="Times New Roman" w:hAnsi="Arial" w:cs="Arial"/>
                <w:sz w:val="20"/>
                <w:szCs w:val="20"/>
                <w:lang w:eastAsia="fr-FR"/>
              </w:rPr>
              <w:t>5 minutes ;</w:t>
            </w:r>
          </w:p>
          <w:p w14:paraId="763D2F2C" w14:textId="77777777" w:rsidR="008C6A58" w:rsidRPr="008879A3" w:rsidRDefault="008C6A58" w:rsidP="008C6A58">
            <w:pPr>
              <w:numPr>
                <w:ilvl w:val="0"/>
                <w:numId w:val="1"/>
              </w:numPr>
              <w:ind w:left="179" w:hanging="179"/>
              <w:contextualSpacing/>
              <w:jc w:val="both"/>
              <w:rPr>
                <w:rFonts w:ascii="Arial" w:eastAsia="Times New Roman" w:hAnsi="Arial" w:cs="Arial"/>
                <w:sz w:val="20"/>
                <w:szCs w:val="20"/>
                <w:lang w:eastAsia="fr-FR"/>
              </w:rPr>
            </w:pPr>
            <w:r w:rsidRPr="008879A3">
              <w:rPr>
                <w:rFonts w:ascii="Arial" w:eastAsia="Times New Roman" w:hAnsi="Arial" w:cs="Arial"/>
                <w:sz w:val="20"/>
                <w:szCs w:val="20"/>
                <w:lang w:eastAsia="fr-FR"/>
              </w:rPr>
              <w:t xml:space="preserve">Prise de parole en continu par le </w:t>
            </w:r>
            <w:r w:rsidR="00F37E7B">
              <w:rPr>
                <w:rFonts w:ascii="Arial" w:eastAsia="Times New Roman" w:hAnsi="Arial" w:cs="Arial"/>
                <w:sz w:val="20"/>
                <w:szCs w:val="20"/>
                <w:lang w:eastAsia="fr-FR"/>
              </w:rPr>
              <w:t xml:space="preserve">candidat </w:t>
            </w:r>
          </w:p>
          <w:p w14:paraId="2447AF3C" w14:textId="77777777" w:rsidR="008C6A58" w:rsidRPr="008879A3" w:rsidRDefault="008C6A58" w:rsidP="008C6A58">
            <w:pPr>
              <w:jc w:val="both"/>
              <w:rPr>
                <w:rFonts w:ascii="Arial" w:eastAsia="Times New Roman" w:hAnsi="Arial" w:cs="Arial"/>
                <w:sz w:val="20"/>
                <w:szCs w:val="20"/>
                <w:lang w:eastAsia="fr-FR"/>
              </w:rPr>
            </w:pPr>
          </w:p>
          <w:p w14:paraId="6D1A5B33" w14:textId="77777777" w:rsidR="008C6A58" w:rsidRPr="008879A3" w:rsidRDefault="008C6A58" w:rsidP="008C6A58">
            <w:pPr>
              <w:jc w:val="both"/>
              <w:rPr>
                <w:rFonts w:ascii="Arial" w:eastAsia="Times New Roman" w:hAnsi="Arial" w:cs="Arial"/>
                <w:sz w:val="20"/>
                <w:szCs w:val="20"/>
                <w:lang w:eastAsia="fr-FR"/>
              </w:rPr>
            </w:pPr>
          </w:p>
        </w:tc>
      </w:tr>
      <w:tr w:rsidR="00F37E7B" w:rsidRPr="008879A3" w14:paraId="6D560AB9" w14:textId="77777777" w:rsidTr="00A05F6B">
        <w:trPr>
          <w:trHeight w:val="257"/>
        </w:trPr>
        <w:tc>
          <w:tcPr>
            <w:tcW w:w="1450" w:type="dxa"/>
            <w:vMerge w:val="restart"/>
            <w:shd w:val="clear" w:color="auto" w:fill="F2F2F2"/>
            <w:vAlign w:val="center"/>
          </w:tcPr>
          <w:p w14:paraId="02406862" w14:textId="77777777" w:rsidR="00F37E7B" w:rsidRPr="008879A3" w:rsidRDefault="00F37E7B" w:rsidP="008879A3">
            <w:pPr>
              <w:jc w:val="center"/>
              <w:rPr>
                <w:rFonts w:ascii="Arial" w:eastAsia="Calibri" w:hAnsi="Arial" w:cs="Arial"/>
                <w:i/>
                <w:iCs/>
                <w:sz w:val="20"/>
                <w:szCs w:val="20"/>
              </w:rPr>
            </w:pPr>
            <w:r w:rsidRPr="008879A3">
              <w:rPr>
                <w:rFonts w:ascii="Arial" w:eastAsia="Calibri" w:hAnsi="Arial" w:cs="Arial"/>
                <w:i/>
                <w:iCs/>
                <w:sz w:val="20"/>
                <w:szCs w:val="20"/>
              </w:rPr>
              <w:t>Seconde partie</w:t>
            </w:r>
          </w:p>
          <w:p w14:paraId="7BF11F03" w14:textId="77777777" w:rsidR="00F37E7B" w:rsidRPr="008879A3" w:rsidRDefault="00F37E7B" w:rsidP="008879A3">
            <w:pPr>
              <w:jc w:val="center"/>
              <w:rPr>
                <w:rFonts w:ascii="Arial" w:eastAsia="Calibri" w:hAnsi="Arial" w:cs="Arial"/>
                <w:i/>
                <w:iCs/>
                <w:sz w:val="20"/>
                <w:szCs w:val="20"/>
              </w:rPr>
            </w:pPr>
          </w:p>
          <w:p w14:paraId="6C3FA4C2" w14:textId="77777777" w:rsidR="00F37E7B" w:rsidRPr="008879A3" w:rsidRDefault="00F37E7B" w:rsidP="008879A3">
            <w:pPr>
              <w:jc w:val="center"/>
              <w:rPr>
                <w:rFonts w:ascii="Arial" w:eastAsia="Calibri" w:hAnsi="Arial" w:cs="Arial"/>
                <w:i/>
                <w:iCs/>
                <w:sz w:val="20"/>
                <w:szCs w:val="20"/>
              </w:rPr>
            </w:pPr>
          </w:p>
          <w:p w14:paraId="60A0A22E" w14:textId="77777777" w:rsidR="00F37E7B" w:rsidRPr="008879A3" w:rsidRDefault="00F37E7B" w:rsidP="008879A3">
            <w:pPr>
              <w:jc w:val="center"/>
              <w:rPr>
                <w:rFonts w:ascii="Arial" w:eastAsia="Calibri" w:hAnsi="Arial" w:cs="Arial"/>
                <w:i/>
                <w:iCs/>
                <w:sz w:val="20"/>
                <w:szCs w:val="20"/>
              </w:rPr>
            </w:pPr>
            <w:r w:rsidRPr="008879A3">
              <w:rPr>
                <w:rFonts w:ascii="Arial" w:eastAsia="Calibri" w:hAnsi="Arial" w:cs="Arial"/>
                <w:b/>
                <w:bCs/>
                <w:i/>
                <w:iCs/>
                <w:sz w:val="20"/>
                <w:szCs w:val="20"/>
              </w:rPr>
              <w:t>Entretien</w:t>
            </w:r>
          </w:p>
        </w:tc>
        <w:tc>
          <w:tcPr>
            <w:tcW w:w="8716" w:type="dxa"/>
            <w:gridSpan w:val="2"/>
            <w:shd w:val="clear" w:color="auto" w:fill="F2F2F2"/>
          </w:tcPr>
          <w:p w14:paraId="0D7ABAB8" w14:textId="77777777" w:rsidR="00F37E7B" w:rsidRPr="00F37E7B" w:rsidRDefault="00F37E7B" w:rsidP="00F37E7B">
            <w:pPr>
              <w:pStyle w:val="NormalWeb"/>
              <w:spacing w:before="0" w:beforeAutospacing="0"/>
              <w:jc w:val="both"/>
              <w:rPr>
                <w:rFonts w:ascii="Arial" w:hAnsi="Arial" w:cs="Arial"/>
                <w:color w:val="000000"/>
                <w:sz w:val="20"/>
                <w:szCs w:val="20"/>
              </w:rPr>
            </w:pPr>
            <w:r w:rsidRPr="00F37E7B">
              <w:rPr>
                <w:rFonts w:ascii="Arial" w:hAnsi="Arial" w:cs="Arial"/>
                <w:color w:val="000000"/>
                <w:sz w:val="20"/>
                <w:szCs w:val="20"/>
              </w:rPr>
              <w:t>L’entretien, conduit dans la langue de la section, porte sur les travaux et activités effectués dans l'année, dans la discipline non linguistique et, de manière plus générale, dans le cadre de la section. La liste des questions étudiées dans cette discipline est fournie à titre d'information par le candidat le jour de l'épreuve. L'entretien peut également porter sur l'ouverture européenne ou orientale et les diverses formes qu'elle a pu prendre dans l'établissement : partenariat, échanges, clubs, journaux, relations internet, etc.</w:t>
            </w:r>
          </w:p>
          <w:p w14:paraId="3859EFEC" w14:textId="77777777" w:rsidR="00F37E7B" w:rsidRPr="00F37E7B" w:rsidRDefault="00F37E7B" w:rsidP="00F37E7B">
            <w:pPr>
              <w:pStyle w:val="NormalWeb"/>
              <w:spacing w:before="0" w:beforeAutospacing="0"/>
              <w:jc w:val="both"/>
              <w:rPr>
                <w:rFonts w:ascii="Arial" w:hAnsi="Arial" w:cs="Arial"/>
                <w:color w:val="000000"/>
                <w:sz w:val="21"/>
                <w:szCs w:val="21"/>
              </w:rPr>
            </w:pPr>
            <w:r w:rsidRPr="00F37E7B">
              <w:rPr>
                <w:rFonts w:ascii="Arial" w:hAnsi="Arial" w:cs="Arial"/>
                <w:color w:val="000000"/>
                <w:sz w:val="20"/>
                <w:szCs w:val="20"/>
              </w:rPr>
              <w:t>L'entretien est conduit de manière à valoriser le parcours du candidat et ses acquis au sein de la section. Le candidat doit donner la preuve de son aptitude à interagir avec son interlocuteur sur des sujets relatifs à un domaine connu, à donner un avis, une information, à formuler une appréciation et plus généralement à participer à un échange de manière active.</w:t>
            </w:r>
          </w:p>
        </w:tc>
      </w:tr>
      <w:tr w:rsidR="00F37E7B" w:rsidRPr="008879A3" w14:paraId="5A5A00E9" w14:textId="77777777" w:rsidTr="00C94789">
        <w:trPr>
          <w:trHeight w:val="257"/>
        </w:trPr>
        <w:tc>
          <w:tcPr>
            <w:tcW w:w="1450" w:type="dxa"/>
            <w:vMerge/>
            <w:tcBorders>
              <w:bottom w:val="single" w:sz="4" w:space="0" w:color="auto"/>
            </w:tcBorders>
            <w:shd w:val="clear" w:color="auto" w:fill="F2F2F2"/>
            <w:vAlign w:val="center"/>
          </w:tcPr>
          <w:p w14:paraId="18E63AD1" w14:textId="77777777" w:rsidR="00F37E7B" w:rsidRPr="008879A3" w:rsidRDefault="00F37E7B" w:rsidP="008879A3">
            <w:pPr>
              <w:jc w:val="center"/>
              <w:rPr>
                <w:rFonts w:ascii="Arial" w:eastAsia="Calibri" w:hAnsi="Arial" w:cs="Arial"/>
                <w:b/>
                <w:bCs/>
                <w:sz w:val="20"/>
                <w:szCs w:val="20"/>
              </w:rPr>
            </w:pPr>
          </w:p>
        </w:tc>
        <w:tc>
          <w:tcPr>
            <w:tcW w:w="4558" w:type="dxa"/>
            <w:shd w:val="clear" w:color="auto" w:fill="F2F2F2"/>
          </w:tcPr>
          <w:p w14:paraId="536B3512" w14:textId="77777777" w:rsidR="00F37E7B" w:rsidRPr="008879A3" w:rsidRDefault="00F37E7B" w:rsidP="008879A3">
            <w:pPr>
              <w:numPr>
                <w:ilvl w:val="0"/>
                <w:numId w:val="2"/>
              </w:numPr>
              <w:ind w:left="179" w:hanging="179"/>
              <w:contextualSpacing/>
              <w:jc w:val="both"/>
              <w:rPr>
                <w:rFonts w:ascii="Arial" w:eastAsia="Times New Roman" w:hAnsi="Arial" w:cs="Arial"/>
                <w:sz w:val="20"/>
                <w:szCs w:val="20"/>
                <w:lang w:eastAsia="fr-FR"/>
              </w:rPr>
            </w:pPr>
            <w:r w:rsidRPr="00F37E7B">
              <w:rPr>
                <w:rFonts w:ascii="Arial" w:eastAsia="Times New Roman" w:hAnsi="Arial" w:cs="Arial"/>
                <w:sz w:val="20"/>
                <w:szCs w:val="20"/>
                <w:lang w:eastAsia="fr-FR"/>
              </w:rPr>
              <w:t xml:space="preserve">Durée : </w:t>
            </w:r>
            <w:r w:rsidRPr="008879A3">
              <w:rPr>
                <w:rFonts w:ascii="Arial" w:eastAsia="Times New Roman" w:hAnsi="Arial" w:cs="Arial"/>
                <w:sz w:val="20"/>
                <w:szCs w:val="20"/>
                <w:lang w:eastAsia="fr-FR"/>
              </w:rPr>
              <w:t>10 minutes ;</w:t>
            </w:r>
          </w:p>
          <w:p w14:paraId="52DFE8E0" w14:textId="77777777" w:rsidR="00F37E7B" w:rsidRPr="008879A3" w:rsidRDefault="00F37E7B" w:rsidP="00F37E7B">
            <w:pPr>
              <w:ind w:left="179"/>
              <w:contextualSpacing/>
              <w:jc w:val="both"/>
              <w:rPr>
                <w:rFonts w:ascii="Arial" w:eastAsia="Times New Roman" w:hAnsi="Arial" w:cs="Arial"/>
                <w:sz w:val="20"/>
                <w:szCs w:val="20"/>
                <w:lang w:eastAsia="fr-FR"/>
              </w:rPr>
            </w:pPr>
          </w:p>
        </w:tc>
        <w:tc>
          <w:tcPr>
            <w:tcW w:w="4158" w:type="dxa"/>
            <w:shd w:val="clear" w:color="auto" w:fill="F2F2F2"/>
          </w:tcPr>
          <w:p w14:paraId="72F5C472" w14:textId="77777777" w:rsidR="00F37E7B" w:rsidRPr="008879A3" w:rsidRDefault="00F37E7B" w:rsidP="008879A3">
            <w:pPr>
              <w:numPr>
                <w:ilvl w:val="0"/>
                <w:numId w:val="1"/>
              </w:numPr>
              <w:ind w:left="179" w:hanging="179"/>
              <w:contextualSpacing/>
              <w:jc w:val="both"/>
              <w:rPr>
                <w:rFonts w:ascii="Arial" w:eastAsia="Times New Roman" w:hAnsi="Arial" w:cs="Arial"/>
                <w:sz w:val="20"/>
                <w:szCs w:val="20"/>
                <w:lang w:eastAsia="fr-FR"/>
              </w:rPr>
            </w:pPr>
            <w:r w:rsidRPr="00F37E7B">
              <w:rPr>
                <w:rFonts w:ascii="Arial" w:eastAsia="Times New Roman" w:hAnsi="Arial" w:cs="Arial"/>
                <w:sz w:val="20"/>
                <w:szCs w:val="20"/>
                <w:lang w:eastAsia="fr-FR"/>
              </w:rPr>
              <w:t xml:space="preserve">Durée : </w:t>
            </w:r>
            <w:r w:rsidRPr="008879A3">
              <w:rPr>
                <w:rFonts w:ascii="Arial" w:eastAsia="Times New Roman" w:hAnsi="Arial" w:cs="Arial"/>
                <w:sz w:val="20"/>
                <w:szCs w:val="20"/>
                <w:lang w:eastAsia="fr-FR"/>
              </w:rPr>
              <w:t>5 minutes.</w:t>
            </w:r>
          </w:p>
          <w:p w14:paraId="597E38E8" w14:textId="77777777" w:rsidR="00F37E7B" w:rsidRPr="008879A3" w:rsidRDefault="00F37E7B" w:rsidP="008879A3">
            <w:pPr>
              <w:jc w:val="both"/>
              <w:rPr>
                <w:rFonts w:ascii="Arial" w:eastAsia="Times New Roman" w:hAnsi="Arial" w:cs="Arial"/>
                <w:sz w:val="20"/>
                <w:szCs w:val="20"/>
                <w:lang w:eastAsia="fr-FR"/>
              </w:rPr>
            </w:pPr>
          </w:p>
        </w:tc>
      </w:tr>
      <w:tr w:rsidR="00C94789" w:rsidRPr="008879A3" w14:paraId="61AC5829" w14:textId="77777777" w:rsidTr="00002D0A">
        <w:trPr>
          <w:trHeight w:val="257"/>
        </w:trPr>
        <w:tc>
          <w:tcPr>
            <w:tcW w:w="1450" w:type="dxa"/>
            <w:vMerge w:val="restart"/>
            <w:vAlign w:val="center"/>
          </w:tcPr>
          <w:p w14:paraId="49E1C24F" w14:textId="77777777" w:rsidR="00C94789" w:rsidRPr="008879A3" w:rsidRDefault="00C94789" w:rsidP="008879A3">
            <w:pPr>
              <w:jc w:val="center"/>
              <w:rPr>
                <w:rFonts w:ascii="Arial" w:eastAsia="Calibri" w:hAnsi="Arial" w:cs="Arial"/>
                <w:b/>
                <w:bCs/>
                <w:sz w:val="20"/>
                <w:szCs w:val="20"/>
              </w:rPr>
            </w:pPr>
            <w:r w:rsidRPr="008879A3">
              <w:rPr>
                <w:rFonts w:ascii="Arial" w:eastAsia="Calibri" w:hAnsi="Arial" w:cs="Arial"/>
                <w:b/>
                <w:bCs/>
                <w:sz w:val="20"/>
                <w:szCs w:val="20"/>
              </w:rPr>
              <w:t>Note scolarité Terminale</w:t>
            </w:r>
          </w:p>
          <w:p w14:paraId="74E83E77" w14:textId="77777777" w:rsidR="00C94789" w:rsidRPr="008879A3" w:rsidRDefault="00C94789" w:rsidP="008879A3">
            <w:pPr>
              <w:jc w:val="center"/>
              <w:rPr>
                <w:rFonts w:ascii="Arial" w:eastAsia="Calibri" w:hAnsi="Arial" w:cs="Arial"/>
                <w:b/>
                <w:bCs/>
                <w:sz w:val="20"/>
                <w:szCs w:val="20"/>
              </w:rPr>
            </w:pPr>
            <w:r w:rsidRPr="008879A3">
              <w:rPr>
                <w:rFonts w:ascii="Arial" w:eastAsia="Calibri" w:hAnsi="Arial" w:cs="Arial"/>
                <w:b/>
                <w:bCs/>
                <w:sz w:val="20"/>
                <w:szCs w:val="20"/>
              </w:rPr>
              <w:t>(20%)</w:t>
            </w:r>
          </w:p>
        </w:tc>
        <w:tc>
          <w:tcPr>
            <w:tcW w:w="8716" w:type="dxa"/>
            <w:gridSpan w:val="2"/>
          </w:tcPr>
          <w:p w14:paraId="0CB15F68" w14:textId="77777777" w:rsidR="00C94789" w:rsidRPr="00C94789" w:rsidRDefault="00C94789" w:rsidP="00C94789">
            <w:pPr>
              <w:contextualSpacing/>
              <w:jc w:val="both"/>
              <w:rPr>
                <w:rFonts w:ascii="Arial" w:hAnsi="Arial" w:cs="Arial"/>
                <w:color w:val="000000"/>
                <w:sz w:val="20"/>
                <w:szCs w:val="20"/>
              </w:rPr>
            </w:pPr>
            <w:r w:rsidRPr="00C94789">
              <w:rPr>
                <w:rFonts w:ascii="Arial" w:hAnsi="Arial" w:cs="Arial"/>
                <w:color w:val="000000"/>
                <w:sz w:val="20"/>
                <w:szCs w:val="20"/>
              </w:rPr>
              <w:t>La note sanctionne le travail effectué en langue étrangère dans la discipline non linguistique au cours de l’année de Terminale. Elle compte pour 20 % de la note globale.</w:t>
            </w:r>
          </w:p>
          <w:p w14:paraId="0BA5DC25" w14:textId="77777777" w:rsidR="00C94789" w:rsidRDefault="00C94789" w:rsidP="00C94789">
            <w:pPr>
              <w:contextualSpacing/>
              <w:jc w:val="both"/>
              <w:rPr>
                <w:rFonts w:ascii="Arial" w:hAnsi="Arial" w:cs="Arial"/>
                <w:color w:val="000000"/>
                <w:sz w:val="21"/>
                <w:szCs w:val="21"/>
              </w:rPr>
            </w:pPr>
          </w:p>
          <w:p w14:paraId="74FB363A" w14:textId="77777777" w:rsidR="00C94789" w:rsidRPr="008879A3" w:rsidRDefault="00C94789" w:rsidP="00C94789">
            <w:pPr>
              <w:jc w:val="both"/>
              <w:rPr>
                <w:rFonts w:ascii="Arial" w:eastAsia="Times New Roman" w:hAnsi="Arial" w:cs="Arial"/>
                <w:sz w:val="20"/>
                <w:szCs w:val="20"/>
                <w:lang w:eastAsia="fr-FR"/>
              </w:rPr>
            </w:pPr>
            <w:r w:rsidRPr="008879A3">
              <w:rPr>
                <w:rFonts w:ascii="Arial" w:eastAsia="Times New Roman" w:hAnsi="Arial" w:cs="Arial"/>
                <w:sz w:val="20"/>
                <w:szCs w:val="20"/>
                <w:lang w:eastAsia="fr-FR"/>
              </w:rPr>
              <w:t>Critères :</w:t>
            </w:r>
          </w:p>
          <w:p w14:paraId="645C5783" w14:textId="77777777" w:rsidR="00C94789" w:rsidRPr="008879A3" w:rsidRDefault="00C94789" w:rsidP="00C94789">
            <w:pPr>
              <w:jc w:val="both"/>
              <w:rPr>
                <w:rFonts w:ascii="Arial" w:eastAsia="Times New Roman" w:hAnsi="Arial" w:cs="Arial"/>
                <w:sz w:val="20"/>
                <w:szCs w:val="20"/>
                <w:lang w:eastAsia="fr-FR"/>
              </w:rPr>
            </w:pPr>
            <w:r w:rsidRPr="008879A3">
              <w:rPr>
                <w:rFonts w:ascii="Arial" w:eastAsia="Times New Roman" w:hAnsi="Arial" w:cs="Arial"/>
                <w:sz w:val="20"/>
                <w:szCs w:val="20"/>
                <w:lang w:eastAsia="fr-FR"/>
              </w:rPr>
              <w:t>- la participation spontanée ou suscitée au travail oral dans la classe ;</w:t>
            </w:r>
          </w:p>
          <w:p w14:paraId="459633F3" w14:textId="77777777" w:rsidR="00C94789" w:rsidRPr="008879A3" w:rsidRDefault="00C94789" w:rsidP="00C94789">
            <w:pPr>
              <w:jc w:val="both"/>
              <w:rPr>
                <w:rFonts w:ascii="Arial" w:eastAsia="Times New Roman" w:hAnsi="Arial" w:cs="Arial"/>
                <w:sz w:val="20"/>
                <w:szCs w:val="20"/>
                <w:lang w:eastAsia="fr-FR"/>
              </w:rPr>
            </w:pPr>
            <w:r w:rsidRPr="008879A3">
              <w:rPr>
                <w:rFonts w:ascii="Arial" w:eastAsia="Times New Roman" w:hAnsi="Arial" w:cs="Arial"/>
                <w:sz w:val="20"/>
                <w:szCs w:val="20"/>
                <w:lang w:eastAsia="fr-FR"/>
              </w:rPr>
              <w:t>- l'implication de l'élève dans la réalisation de certains travaux imposés, oraux ou écrits, réalisés au cours de l'année, et la qualité de ces travaux : brefs comptes rendus de lecture, d'expériences, commentaires de documents, productions personnelles, etc. ;</w:t>
            </w:r>
          </w:p>
          <w:p w14:paraId="2E53D8AE" w14:textId="77777777" w:rsidR="00C94789" w:rsidRPr="008879A3" w:rsidRDefault="00C94789" w:rsidP="00C94789">
            <w:pPr>
              <w:contextualSpacing/>
              <w:jc w:val="both"/>
              <w:rPr>
                <w:rFonts w:ascii="Arial" w:eastAsia="Times New Roman" w:hAnsi="Arial" w:cs="Arial"/>
                <w:sz w:val="20"/>
                <w:szCs w:val="20"/>
                <w:lang w:eastAsia="fr-FR"/>
              </w:rPr>
            </w:pPr>
            <w:r w:rsidRPr="008879A3">
              <w:rPr>
                <w:rFonts w:ascii="Arial" w:eastAsia="Times New Roman" w:hAnsi="Arial" w:cs="Arial"/>
                <w:sz w:val="20"/>
                <w:szCs w:val="20"/>
                <w:lang w:eastAsia="fr-FR"/>
              </w:rPr>
              <w:t>- la maîtrise de la langue, dans un domaine spécialisé et plus généralement dans une situation de communication.</w:t>
            </w:r>
          </w:p>
        </w:tc>
      </w:tr>
      <w:tr w:rsidR="00C94789" w:rsidRPr="008879A3" w14:paraId="29ED0241" w14:textId="77777777" w:rsidTr="00002D0A">
        <w:trPr>
          <w:trHeight w:val="257"/>
        </w:trPr>
        <w:tc>
          <w:tcPr>
            <w:tcW w:w="1450" w:type="dxa"/>
            <w:vMerge/>
            <w:vAlign w:val="center"/>
          </w:tcPr>
          <w:p w14:paraId="2BBF0BA4" w14:textId="77777777" w:rsidR="00C94789" w:rsidRPr="008879A3" w:rsidRDefault="00C94789" w:rsidP="008879A3">
            <w:pPr>
              <w:jc w:val="center"/>
              <w:rPr>
                <w:rFonts w:ascii="Arial" w:eastAsia="Calibri" w:hAnsi="Arial" w:cs="Arial"/>
                <w:b/>
                <w:bCs/>
                <w:sz w:val="20"/>
                <w:szCs w:val="20"/>
              </w:rPr>
            </w:pPr>
          </w:p>
        </w:tc>
        <w:tc>
          <w:tcPr>
            <w:tcW w:w="4558" w:type="dxa"/>
          </w:tcPr>
          <w:p w14:paraId="5B2E57E3" w14:textId="77777777" w:rsidR="00C94789" w:rsidRPr="008879A3" w:rsidRDefault="00C94789" w:rsidP="008879A3">
            <w:pPr>
              <w:numPr>
                <w:ilvl w:val="0"/>
                <w:numId w:val="2"/>
              </w:numPr>
              <w:ind w:left="179" w:hanging="179"/>
              <w:contextualSpacing/>
              <w:jc w:val="both"/>
              <w:rPr>
                <w:rFonts w:ascii="Arial" w:eastAsia="Times New Roman" w:hAnsi="Arial" w:cs="Arial"/>
                <w:sz w:val="20"/>
                <w:szCs w:val="20"/>
                <w:lang w:eastAsia="fr-FR"/>
              </w:rPr>
            </w:pPr>
            <w:r w:rsidRPr="00C94789">
              <w:rPr>
                <w:rFonts w:ascii="Arial" w:eastAsia="Times New Roman" w:hAnsi="Arial" w:cs="Arial"/>
                <w:sz w:val="20"/>
                <w:szCs w:val="20"/>
                <w:lang w:eastAsia="fr-FR"/>
              </w:rPr>
              <w:t>Cette note est a</w:t>
            </w:r>
            <w:r w:rsidRPr="008879A3">
              <w:rPr>
                <w:rFonts w:ascii="Arial" w:eastAsia="Times New Roman" w:hAnsi="Arial" w:cs="Arial"/>
                <w:sz w:val="20"/>
                <w:szCs w:val="20"/>
                <w:lang w:eastAsia="fr-FR"/>
              </w:rPr>
              <w:t>ttribuée par le professeur de la discipline non linguistique en liaison avec le professeur de langue.</w:t>
            </w:r>
          </w:p>
          <w:p w14:paraId="1BEE79FB" w14:textId="77777777" w:rsidR="00C94789" w:rsidRPr="008879A3" w:rsidRDefault="00C94789" w:rsidP="008879A3">
            <w:pPr>
              <w:jc w:val="both"/>
              <w:rPr>
                <w:rFonts w:ascii="Arial" w:eastAsia="Times New Roman" w:hAnsi="Arial" w:cs="Arial"/>
                <w:sz w:val="20"/>
                <w:szCs w:val="20"/>
                <w:lang w:eastAsia="fr-FR"/>
              </w:rPr>
            </w:pPr>
          </w:p>
          <w:p w14:paraId="26CA55D9" w14:textId="77777777" w:rsidR="00C94789" w:rsidRPr="008879A3" w:rsidRDefault="00C94789" w:rsidP="008879A3">
            <w:pPr>
              <w:jc w:val="both"/>
              <w:rPr>
                <w:rFonts w:ascii="Arial" w:eastAsia="Times New Roman" w:hAnsi="Arial" w:cs="Arial"/>
                <w:sz w:val="20"/>
                <w:szCs w:val="20"/>
                <w:lang w:eastAsia="fr-FR"/>
              </w:rPr>
            </w:pPr>
          </w:p>
          <w:p w14:paraId="3B4C1A22" w14:textId="77777777" w:rsidR="00C94789" w:rsidRPr="008879A3" w:rsidRDefault="00C94789" w:rsidP="008879A3">
            <w:pPr>
              <w:jc w:val="both"/>
              <w:rPr>
                <w:rFonts w:ascii="Arial" w:eastAsia="Times New Roman" w:hAnsi="Arial" w:cs="Arial"/>
                <w:sz w:val="20"/>
                <w:szCs w:val="20"/>
                <w:lang w:eastAsia="fr-FR"/>
              </w:rPr>
            </w:pPr>
          </w:p>
        </w:tc>
        <w:tc>
          <w:tcPr>
            <w:tcW w:w="4158" w:type="dxa"/>
          </w:tcPr>
          <w:p w14:paraId="71935BF2" w14:textId="77777777" w:rsidR="00C94789" w:rsidRPr="008879A3" w:rsidRDefault="00C94789" w:rsidP="008879A3">
            <w:pPr>
              <w:numPr>
                <w:ilvl w:val="0"/>
                <w:numId w:val="2"/>
              </w:numPr>
              <w:ind w:left="185" w:hanging="185"/>
              <w:contextualSpacing/>
              <w:jc w:val="both"/>
              <w:rPr>
                <w:rFonts w:ascii="Arial" w:eastAsia="Times New Roman" w:hAnsi="Arial" w:cs="Arial"/>
                <w:sz w:val="20"/>
                <w:szCs w:val="20"/>
                <w:lang w:eastAsia="fr-FR"/>
              </w:rPr>
            </w:pPr>
            <w:r w:rsidRPr="008879A3">
              <w:rPr>
                <w:rFonts w:ascii="Arial" w:eastAsia="Times New Roman" w:hAnsi="Arial" w:cs="Arial"/>
                <w:sz w:val="20"/>
                <w:szCs w:val="20"/>
                <w:lang w:eastAsia="fr-FR"/>
              </w:rPr>
              <w:t>Cette note est attribuée par le professeur de la discipline non linguistique, et conjointement, sauf impossibilité, par le professeur de la langue vivante concernée.</w:t>
            </w:r>
          </w:p>
          <w:p w14:paraId="3D3B4BB3" w14:textId="77777777" w:rsidR="00C94789" w:rsidRPr="008879A3" w:rsidRDefault="00C94789" w:rsidP="008879A3">
            <w:pPr>
              <w:jc w:val="both"/>
              <w:rPr>
                <w:rFonts w:ascii="Arial" w:eastAsia="Times New Roman" w:hAnsi="Arial" w:cs="Arial"/>
                <w:sz w:val="20"/>
                <w:szCs w:val="20"/>
                <w:lang w:eastAsia="fr-FR"/>
              </w:rPr>
            </w:pPr>
          </w:p>
          <w:p w14:paraId="26D3E460" w14:textId="77777777" w:rsidR="00C94789" w:rsidRPr="008879A3" w:rsidRDefault="00C94789" w:rsidP="008879A3">
            <w:pPr>
              <w:jc w:val="both"/>
              <w:rPr>
                <w:rFonts w:ascii="Arial" w:eastAsia="Times New Roman" w:hAnsi="Arial" w:cs="Arial"/>
                <w:sz w:val="20"/>
                <w:szCs w:val="20"/>
                <w:lang w:eastAsia="fr-FR"/>
              </w:rPr>
            </w:pPr>
          </w:p>
        </w:tc>
      </w:tr>
    </w:tbl>
    <w:p w14:paraId="047C471E" w14:textId="77777777" w:rsidR="009774A1" w:rsidRDefault="007015A3"/>
    <w:sectPr w:rsidR="009774A1" w:rsidSect="008879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11190"/>
    <w:multiLevelType w:val="hybridMultilevel"/>
    <w:tmpl w:val="44F6E1B8"/>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0B6B07"/>
    <w:multiLevelType w:val="hybridMultilevel"/>
    <w:tmpl w:val="CF3EF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A3"/>
    <w:rsid w:val="00220443"/>
    <w:rsid w:val="0066265C"/>
    <w:rsid w:val="007015A3"/>
    <w:rsid w:val="00702DA5"/>
    <w:rsid w:val="008879A3"/>
    <w:rsid w:val="008C6A58"/>
    <w:rsid w:val="00A76807"/>
    <w:rsid w:val="00AD448A"/>
    <w:rsid w:val="00C94789"/>
    <w:rsid w:val="00C97C7E"/>
    <w:rsid w:val="00F37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100B"/>
  <w15:chartTrackingRefBased/>
  <w15:docId w15:val="{B157FAE8-254B-4283-A0A8-30F7F4D2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8879A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887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680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164601">
      <w:bodyDiv w:val="1"/>
      <w:marLeft w:val="0"/>
      <w:marRight w:val="0"/>
      <w:marTop w:val="0"/>
      <w:marBottom w:val="0"/>
      <w:divBdr>
        <w:top w:val="none" w:sz="0" w:space="0" w:color="auto"/>
        <w:left w:val="none" w:sz="0" w:space="0" w:color="auto"/>
        <w:bottom w:val="none" w:sz="0" w:space="0" w:color="auto"/>
        <w:right w:val="none" w:sz="0" w:space="0" w:color="auto"/>
      </w:divBdr>
    </w:div>
    <w:div w:id="1335492652">
      <w:bodyDiv w:val="1"/>
      <w:marLeft w:val="0"/>
      <w:marRight w:val="0"/>
      <w:marTop w:val="0"/>
      <w:marBottom w:val="0"/>
      <w:divBdr>
        <w:top w:val="none" w:sz="0" w:space="0" w:color="auto"/>
        <w:left w:val="none" w:sz="0" w:space="0" w:color="auto"/>
        <w:bottom w:val="none" w:sz="0" w:space="0" w:color="auto"/>
        <w:right w:val="none" w:sz="0" w:space="0" w:color="auto"/>
      </w:divBdr>
    </w:div>
    <w:div w:id="1426724608">
      <w:bodyDiv w:val="1"/>
      <w:marLeft w:val="0"/>
      <w:marRight w:val="0"/>
      <w:marTop w:val="0"/>
      <w:marBottom w:val="0"/>
      <w:divBdr>
        <w:top w:val="none" w:sz="0" w:space="0" w:color="auto"/>
        <w:left w:val="none" w:sz="0" w:space="0" w:color="auto"/>
        <w:bottom w:val="none" w:sz="0" w:space="0" w:color="auto"/>
        <w:right w:val="none" w:sz="0" w:space="0" w:color="auto"/>
      </w:divBdr>
    </w:div>
    <w:div w:id="19287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4097</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alexandra.guedet</dc:creator>
  <cp:keywords/>
  <dc:description/>
  <cp:lastModifiedBy>perrine Gourio</cp:lastModifiedBy>
  <cp:revision>2</cp:revision>
  <dcterms:created xsi:type="dcterms:W3CDTF">2021-01-02T14:34:00Z</dcterms:created>
  <dcterms:modified xsi:type="dcterms:W3CDTF">2021-01-02T14:34:00Z</dcterms:modified>
</cp:coreProperties>
</file>